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Layout w:type="autofit"/>
        <w:tblCellMar>
          <w:top w:w="0" w:type="dxa"/>
          <w:left w:w="108" w:type="dxa"/>
          <w:bottom w:w="0" w:type="dxa"/>
          <w:right w:w="108" w:type="dxa"/>
        </w:tblCellMar>
      </w:tblPr>
      <w:tblGrid>
        <w:gridCol w:w="2980"/>
        <w:gridCol w:w="2983"/>
        <w:gridCol w:w="2983"/>
      </w:tblGrid>
      <w:tr>
        <w:tblPrEx>
          <w:tblCellMar>
            <w:top w:w="0" w:type="dxa"/>
            <w:left w:w="108" w:type="dxa"/>
            <w:bottom w:w="0" w:type="dxa"/>
            <w:right w:w="108" w:type="dxa"/>
          </w:tblCellMar>
        </w:tblPrEx>
        <w:tc>
          <w:tcPr>
            <w:tcW w:w="1666" w:type="pct"/>
            <w:shd w:val="clear" w:color="auto" w:fill="auto"/>
          </w:tcPr>
          <w:p>
            <w:pPr>
              <w:widowControl w:val="0"/>
              <w:adjustRightInd w:val="0"/>
              <w:snapToGrid w:val="0"/>
              <w:spacing w:line="440" w:lineRule="exact"/>
              <w:jc w:val="both"/>
              <w:rPr>
                <w:rFonts w:ascii="Times New Roman" w:hAnsi="Times New Roman" w:cs="Times New Roman"/>
                <w:kern w:val="2"/>
                <w:szCs w:val="20"/>
              </w:rPr>
            </w:pPr>
            <w:r>
              <w:rPr>
                <w:rFonts w:ascii="Times New Roman" w:hAnsi="Times New Roman" w:cs="Times New Roman"/>
                <w:kern w:val="2"/>
                <w:szCs w:val="20"/>
              </w:rPr>
              <w:t>证券代码：000881</w:t>
            </w:r>
          </w:p>
        </w:tc>
        <w:tc>
          <w:tcPr>
            <w:tcW w:w="1667" w:type="pct"/>
            <w:shd w:val="clear" w:color="auto" w:fill="auto"/>
          </w:tcPr>
          <w:p>
            <w:pPr>
              <w:widowControl w:val="0"/>
              <w:adjustRightInd w:val="0"/>
              <w:snapToGrid w:val="0"/>
              <w:spacing w:line="440" w:lineRule="exact"/>
              <w:jc w:val="center"/>
              <w:rPr>
                <w:rFonts w:ascii="Times New Roman" w:hAnsi="Times New Roman" w:cs="Times New Roman"/>
                <w:kern w:val="2"/>
                <w:szCs w:val="20"/>
              </w:rPr>
            </w:pPr>
            <w:r>
              <w:rPr>
                <w:rFonts w:ascii="Times New Roman" w:hAnsi="Times New Roman" w:cs="Times New Roman"/>
                <w:kern w:val="2"/>
                <w:szCs w:val="20"/>
              </w:rPr>
              <w:t>证券简称：中广核技</w:t>
            </w:r>
          </w:p>
        </w:tc>
        <w:tc>
          <w:tcPr>
            <w:tcW w:w="1667" w:type="pct"/>
            <w:shd w:val="clear" w:color="auto" w:fill="auto"/>
          </w:tcPr>
          <w:p>
            <w:pPr>
              <w:widowControl w:val="0"/>
              <w:wordWrap w:val="0"/>
              <w:adjustRightInd w:val="0"/>
              <w:snapToGrid w:val="0"/>
              <w:spacing w:line="440" w:lineRule="exact"/>
              <w:jc w:val="right"/>
              <w:rPr>
                <w:rFonts w:hint="default" w:ascii="Times New Roman" w:hAnsi="Times New Roman" w:eastAsia="宋体" w:cs="Times New Roman"/>
                <w:kern w:val="2"/>
                <w:szCs w:val="20"/>
                <w:lang w:val="en-US" w:eastAsia="zh-CN"/>
              </w:rPr>
            </w:pPr>
            <w:r>
              <w:rPr>
                <w:rFonts w:ascii="Times New Roman" w:hAnsi="Times New Roman" w:cs="Times New Roman"/>
                <w:kern w:val="2"/>
                <w:szCs w:val="20"/>
              </w:rPr>
              <w:t>公告编号：202</w:t>
            </w:r>
            <w:r>
              <w:rPr>
                <w:rFonts w:hint="eastAsia" w:ascii="Times New Roman" w:hAnsi="Times New Roman" w:cs="Times New Roman"/>
                <w:kern w:val="2"/>
                <w:szCs w:val="20"/>
              </w:rPr>
              <w:t>4</w:t>
            </w:r>
            <w:r>
              <w:rPr>
                <w:rFonts w:ascii="Times New Roman" w:hAnsi="Times New Roman" w:cs="Times New Roman"/>
                <w:kern w:val="2"/>
                <w:szCs w:val="20"/>
              </w:rPr>
              <w:t>-0</w:t>
            </w:r>
            <w:r>
              <w:rPr>
                <w:rFonts w:hint="eastAsia" w:ascii="Times New Roman" w:hAnsi="Times New Roman" w:cs="Times New Roman"/>
                <w:kern w:val="2"/>
                <w:szCs w:val="20"/>
                <w:lang w:val="en-US" w:eastAsia="zh-CN"/>
              </w:rPr>
              <w:t>65</w:t>
            </w:r>
          </w:p>
        </w:tc>
      </w:tr>
    </w:tbl>
    <w:p>
      <w:pPr>
        <w:widowControl w:val="0"/>
        <w:snapToGrid w:val="0"/>
        <w:spacing w:before="180" w:beforeLines="50"/>
        <w:jc w:val="center"/>
        <w:rPr>
          <w:rFonts w:ascii="Times New Roman" w:hAnsi="Times New Roman" w:cs="Times New Roman"/>
          <w:b/>
          <w:kern w:val="2"/>
          <w:sz w:val="36"/>
          <w:szCs w:val="36"/>
        </w:rPr>
      </w:pPr>
      <w:r>
        <w:rPr>
          <w:rFonts w:ascii="Times New Roman" w:hAnsi="Times New Roman" w:cs="Times New Roman"/>
          <w:b/>
          <w:kern w:val="2"/>
          <w:sz w:val="36"/>
          <w:szCs w:val="36"/>
        </w:rPr>
        <w:t>中广核核技术发展股份有限公司</w:t>
      </w:r>
    </w:p>
    <w:p>
      <w:pPr>
        <w:widowControl w:val="0"/>
        <w:snapToGrid w:val="0"/>
        <w:jc w:val="center"/>
        <w:rPr>
          <w:rFonts w:ascii="Times New Roman" w:hAnsi="Times New Roman" w:cs="Times New Roman"/>
          <w:b/>
          <w:kern w:val="2"/>
          <w:sz w:val="36"/>
          <w:szCs w:val="36"/>
        </w:rPr>
      </w:pPr>
      <w:r>
        <w:rPr>
          <w:rFonts w:hint="eastAsia" w:ascii="Times New Roman" w:hAnsi="Times New Roman" w:cs="Times New Roman"/>
          <w:b/>
          <w:kern w:val="2"/>
          <w:sz w:val="36"/>
          <w:szCs w:val="36"/>
        </w:rPr>
        <w:t>关于公司收到中标</w:t>
      </w:r>
      <w:r>
        <w:rPr>
          <w:rFonts w:hint="eastAsia" w:ascii="Times New Roman" w:hAnsi="Times New Roman" w:cs="Times New Roman"/>
          <w:b/>
          <w:kern w:val="2"/>
          <w:sz w:val="36"/>
          <w:szCs w:val="36"/>
          <w:lang w:val="en-US" w:eastAsia="zh-CN"/>
        </w:rPr>
        <w:t>结果</w:t>
      </w:r>
      <w:r>
        <w:rPr>
          <w:rFonts w:hint="eastAsia" w:ascii="Times New Roman" w:hAnsi="Times New Roman" w:cs="Times New Roman"/>
          <w:b/>
          <w:kern w:val="2"/>
          <w:sz w:val="36"/>
          <w:szCs w:val="36"/>
        </w:rPr>
        <w:t>暨关联交易的公告</w:t>
      </w:r>
    </w:p>
    <w:p>
      <w:pPr>
        <w:widowControl w:val="0"/>
        <w:snapToGrid w:val="0"/>
        <w:spacing w:before="180" w:beforeLines="50" w:line="360" w:lineRule="auto"/>
        <w:ind w:firstLine="422" w:firstLineChars="200"/>
        <w:jc w:val="both"/>
        <w:rPr>
          <w:rFonts w:ascii="Times New Roman" w:hAnsi="Times New Roman" w:cs="Times New Roman"/>
          <w:b/>
          <w:kern w:val="2"/>
          <w:sz w:val="21"/>
          <w:szCs w:val="21"/>
        </w:rPr>
      </w:pPr>
      <w:r>
        <w:rPr>
          <w:rFonts w:ascii="Times New Roman" w:hAnsi="Times New Roman" w:cs="Times New Roman"/>
          <w:b/>
          <w:kern w:val="2"/>
          <w:sz w:val="21"/>
          <w:szCs w:val="21"/>
        </w:rPr>
        <w:t>本公司及董事会全体成员保证信息披露的内容真实、准确、完整，没有虚假记载、误导性陈述或者重大遗漏。</w:t>
      </w:r>
    </w:p>
    <w:p>
      <w:pPr>
        <w:pStyle w:val="21"/>
        <w:adjustRightInd w:val="0"/>
        <w:snapToGrid w:val="0"/>
        <w:spacing w:line="360" w:lineRule="auto"/>
        <w:ind w:firstLine="482"/>
        <w:outlineLvl w:val="0"/>
        <w:rPr>
          <w:b/>
          <w:sz w:val="24"/>
        </w:rPr>
      </w:pPr>
      <w:r>
        <w:rPr>
          <w:b/>
          <w:sz w:val="24"/>
        </w:rPr>
        <w:t>一、</w:t>
      </w:r>
      <w:r>
        <w:rPr>
          <w:rFonts w:hint="eastAsia"/>
          <w:b/>
          <w:sz w:val="24"/>
        </w:rPr>
        <w:t>关联交易概述</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rPr>
        <w:t>中广核核技术发展股份有限公司（以下简称“公司”）</w:t>
      </w:r>
      <w:r>
        <w:rPr>
          <w:rFonts w:hint="eastAsia" w:ascii="Times New Roman" w:hAnsi="Times New Roman" w:cs="Times New Roman"/>
          <w:kern w:val="2"/>
          <w:szCs w:val="20"/>
          <w:lang w:val="en-US" w:eastAsia="zh-CN"/>
        </w:rPr>
        <w:t>的全资子公司江苏中广核金沃电子科技有限公司近日收到了中标结果，确定中标中广核新能源2024-2025年电缆设备框架采购（第五标段：光伏专用电缆）项目，招标人为中广核风电有限公司，中标金额为18,309.90万元。</w:t>
      </w:r>
    </w:p>
    <w:p>
      <w:pPr>
        <w:widowControl w:val="0"/>
        <w:adjustRightInd w:val="0"/>
        <w:snapToGrid w:val="0"/>
        <w:spacing w:line="360" w:lineRule="auto"/>
        <w:ind w:firstLine="480" w:firstLineChars="200"/>
        <w:jc w:val="both"/>
        <w:rPr>
          <w:rFonts w:hint="eastAsia"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中广核风电有限公司为公司实际控制人中国广核集团有限公司的控股子公司，属于《深圳证券交易所股票上市规则》第6.3.3条第二款第二项规定的关联关系，本次交易构成关联交易。</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本次关联交易金额为18,309.90万元，按中国广核集团有限公司及其下属子公司这同一关联人连续12个月累计计算关联交易金额为29,487.17万元，根据《公司章程》的相关规定，本次关联交易事项尚需提交董事会审议。因本事项为公开招标形成的关联交易，根据《深圳证券交易所股票上市规则》的相关规定，公司拟向深圳证券交易所申请就上述因公开招标形成的关联交易事项豁免履行股东会审议程序。</w:t>
      </w:r>
    </w:p>
    <w:p>
      <w:pPr>
        <w:widowControl w:val="0"/>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default" w:ascii="Times New Roman" w:hAnsi="Times New Roman" w:cs="Times New Roman"/>
          <w:kern w:val="2"/>
          <w:szCs w:val="20"/>
          <w:lang w:val="en-US" w:eastAsia="zh-CN"/>
        </w:rPr>
        <w:t>本次交易不构成《上市公司重大资产重组管理办法》规定的重大资产重组，无须经过有关部门批准。</w:t>
      </w:r>
    </w:p>
    <w:p>
      <w:pPr>
        <w:pStyle w:val="21"/>
        <w:adjustRightInd w:val="0"/>
        <w:snapToGrid w:val="0"/>
        <w:spacing w:line="360" w:lineRule="auto"/>
        <w:ind w:firstLine="482"/>
        <w:outlineLvl w:val="0"/>
        <w:rPr>
          <w:rFonts w:hint="eastAsia"/>
          <w:b/>
          <w:sz w:val="24"/>
          <w:lang w:val="en-US" w:eastAsia="zh-CN"/>
        </w:rPr>
      </w:pPr>
      <w:r>
        <w:rPr>
          <w:rFonts w:hint="eastAsia"/>
          <w:b/>
          <w:sz w:val="24"/>
          <w:lang w:val="en-US" w:eastAsia="zh-CN"/>
        </w:rPr>
        <w:t>二、关联方基本情况</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1</w:t>
      </w:r>
      <w:r>
        <w:rPr>
          <w:rFonts w:hint="eastAsia" w:ascii="Times New Roman" w:hAnsi="Times New Roman" w:cs="Times New Roman"/>
          <w:kern w:val="2"/>
          <w:lang w:eastAsia="zh-CN"/>
        </w:rPr>
        <w:t>.</w:t>
      </w:r>
      <w:r>
        <w:rPr>
          <w:rFonts w:ascii="Times New Roman" w:hAnsi="Times New Roman" w:cs="Times New Roman"/>
          <w:kern w:val="2"/>
        </w:rPr>
        <w:t>基本情况</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企业名称：</w:t>
      </w:r>
      <w:r>
        <w:rPr>
          <w:rFonts w:hint="eastAsia" w:ascii="Times New Roman" w:hAnsi="Times New Roman" w:cs="Times New Roman"/>
          <w:kern w:val="2"/>
        </w:rPr>
        <w:t>中广核风电有限公司</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公司类型：</w:t>
      </w:r>
      <w:r>
        <w:rPr>
          <w:rFonts w:hint="eastAsia" w:ascii="Times New Roman" w:hAnsi="Times New Roman" w:cs="Times New Roman"/>
          <w:kern w:val="2"/>
          <w:lang w:val="en-US" w:eastAsia="zh-CN"/>
        </w:rPr>
        <w:t>其他</w:t>
      </w:r>
      <w:r>
        <w:rPr>
          <w:rFonts w:ascii="Times New Roman" w:hAnsi="Times New Roman" w:cs="Times New Roman"/>
          <w:kern w:val="2"/>
        </w:rPr>
        <w:t>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lang w:val="en-US" w:eastAsia="zh-CN"/>
        </w:rPr>
      </w:pPr>
      <w:r>
        <w:rPr>
          <w:rFonts w:ascii="Times New Roman" w:hAnsi="Times New Roman" w:cs="Times New Roman"/>
          <w:kern w:val="2"/>
        </w:rPr>
        <w:t>法定代表人：</w:t>
      </w:r>
      <w:r>
        <w:rPr>
          <w:rFonts w:hint="eastAsia" w:ascii="Times New Roman" w:hAnsi="Times New Roman" w:cs="Times New Roman"/>
          <w:kern w:val="2"/>
          <w:lang w:val="en-US" w:eastAsia="zh-CN"/>
        </w:rPr>
        <w:t>张志武</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注册资本：</w:t>
      </w:r>
      <w:r>
        <w:rPr>
          <w:rFonts w:hint="eastAsia" w:ascii="Times New Roman" w:hAnsi="Times New Roman" w:cs="Times New Roman"/>
          <w:kern w:val="2"/>
          <w:lang w:val="en-US" w:eastAsia="zh-CN"/>
        </w:rPr>
        <w:t>345.57亿</w:t>
      </w:r>
      <w:r>
        <w:rPr>
          <w:rFonts w:hint="eastAsia" w:ascii="Times New Roman" w:hAnsi="Times New Roman" w:cs="Times New Roman"/>
          <w:kern w:val="2"/>
        </w:rPr>
        <w:t>元</w:t>
      </w:r>
      <w:r>
        <w:rPr>
          <w:rFonts w:ascii="Times New Roman" w:hAnsi="Times New Roman" w:cs="Times New Roman"/>
          <w:kern w:val="2"/>
        </w:rPr>
        <w:t>人民币</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住所：</w:t>
      </w:r>
      <w:r>
        <w:rPr>
          <w:rFonts w:hint="eastAsia" w:ascii="Times New Roman" w:hAnsi="Times New Roman" w:cs="Times New Roman"/>
          <w:kern w:val="2"/>
        </w:rPr>
        <w:t>北京市丰台区南四环西路188号12区2号楼</w:t>
      </w:r>
    </w:p>
    <w:p>
      <w:pPr>
        <w:widowControl w:val="0"/>
        <w:adjustRightInd w:val="0"/>
        <w:snapToGrid w:val="0"/>
        <w:spacing w:line="360" w:lineRule="auto"/>
        <w:ind w:firstLine="480" w:firstLineChars="200"/>
        <w:jc w:val="both"/>
        <w:rPr>
          <w:rFonts w:hint="eastAsia" w:ascii="宋体" w:hAnsi="宋体" w:eastAsia="宋体" w:cs="宋体"/>
          <w:kern w:val="2"/>
          <w:lang w:eastAsia="zh-CN"/>
        </w:rPr>
      </w:pPr>
      <w:r>
        <w:rPr>
          <w:rFonts w:hint="eastAsia" w:ascii="宋体" w:hAnsi="宋体" w:eastAsia="宋体" w:cs="宋体"/>
          <w:kern w:val="2"/>
        </w:rPr>
        <w:t>经营范围：许可项目</w:t>
      </w:r>
      <w:r>
        <w:rPr>
          <w:rFonts w:hint="eastAsia" w:cs="宋体"/>
          <w:kern w:val="2"/>
          <w:lang w:eastAsia="zh-CN"/>
        </w:rPr>
        <w:t>：</w:t>
      </w:r>
      <w:r>
        <w:rPr>
          <w:rFonts w:hint="eastAsia" w:ascii="宋体" w:hAnsi="宋体" w:eastAsia="宋体" w:cs="宋体"/>
          <w:kern w:val="2"/>
        </w:rPr>
        <w:t>发电业务、输电业务、供(配)电业务</w:t>
      </w:r>
      <w:r>
        <w:rPr>
          <w:rFonts w:hint="eastAsia" w:cs="宋体"/>
          <w:kern w:val="2"/>
          <w:lang w:eastAsia="zh-CN"/>
        </w:rPr>
        <w:t>。（</w:t>
      </w:r>
      <w:r>
        <w:rPr>
          <w:rFonts w:hint="eastAsia" w:ascii="宋体" w:hAnsi="宋体" w:eastAsia="宋体" w:cs="宋体"/>
          <w:kern w:val="2"/>
        </w:rPr>
        <w:t>依法须经批准的项目</w:t>
      </w:r>
      <w:r>
        <w:rPr>
          <w:rFonts w:hint="eastAsia" w:cs="宋体"/>
          <w:kern w:val="2"/>
          <w:lang w:eastAsia="zh-CN"/>
        </w:rPr>
        <w:t>，</w:t>
      </w:r>
      <w:r>
        <w:rPr>
          <w:rFonts w:hint="eastAsia" w:ascii="宋体" w:hAnsi="宋体" w:eastAsia="宋体" w:cs="宋体"/>
          <w:kern w:val="2"/>
        </w:rPr>
        <w:t>经相关部门批准后方可开展经营活动,具体经营项目以相关部门批准文件或许可证件为准</w:t>
      </w:r>
      <w:r>
        <w:rPr>
          <w:rFonts w:hint="eastAsia" w:cs="宋体"/>
          <w:kern w:val="2"/>
          <w:lang w:eastAsia="zh-CN"/>
        </w:rPr>
        <w:t>）</w:t>
      </w:r>
      <w:r>
        <w:rPr>
          <w:rFonts w:hint="eastAsia" w:ascii="宋体" w:hAnsi="宋体" w:eastAsia="宋体" w:cs="宋体"/>
          <w:kern w:val="2"/>
        </w:rPr>
        <w:t>一般项目</w:t>
      </w:r>
      <w:r>
        <w:rPr>
          <w:rFonts w:hint="eastAsia" w:cs="宋体"/>
          <w:kern w:val="2"/>
          <w:lang w:eastAsia="zh-CN"/>
        </w:rPr>
        <w:t>：</w:t>
      </w:r>
      <w:r>
        <w:rPr>
          <w:rFonts w:hint="eastAsia" w:ascii="宋体" w:hAnsi="宋体" w:eastAsia="宋体" w:cs="宋体"/>
          <w:kern w:val="2"/>
        </w:rPr>
        <w:t>风</w:t>
      </w:r>
      <w:bookmarkStart w:id="0" w:name="_GoBack"/>
      <w:bookmarkEnd w:id="0"/>
      <w:r>
        <w:rPr>
          <w:rFonts w:hint="eastAsia" w:ascii="宋体" w:hAnsi="宋体" w:eastAsia="宋体" w:cs="宋体"/>
          <w:kern w:val="2"/>
        </w:rPr>
        <w:t>力发电技术服务</w:t>
      </w:r>
      <w:r>
        <w:rPr>
          <w:rFonts w:hint="eastAsia" w:cs="宋体"/>
          <w:kern w:val="2"/>
          <w:lang w:val="en-US" w:eastAsia="zh-CN"/>
        </w:rPr>
        <w:t>；</w:t>
      </w:r>
      <w:r>
        <w:rPr>
          <w:rFonts w:hint="eastAsia" w:ascii="宋体" w:hAnsi="宋体" w:eastAsia="宋体" w:cs="宋体"/>
          <w:kern w:val="2"/>
        </w:rPr>
        <w:t>太阳能发电技术服务</w:t>
      </w:r>
      <w:r>
        <w:rPr>
          <w:rFonts w:hint="eastAsia" w:cs="宋体"/>
          <w:kern w:val="2"/>
          <w:lang w:val="en-US" w:eastAsia="zh-CN"/>
        </w:rPr>
        <w:t>；</w:t>
      </w:r>
      <w:r>
        <w:rPr>
          <w:rFonts w:hint="eastAsia" w:ascii="宋体" w:hAnsi="宋体" w:eastAsia="宋体" w:cs="宋体"/>
          <w:kern w:val="2"/>
        </w:rPr>
        <w:t>储能技术服务</w:t>
      </w:r>
      <w:r>
        <w:rPr>
          <w:rFonts w:hint="eastAsia" w:cs="宋体"/>
          <w:kern w:val="2"/>
          <w:lang w:val="en-US" w:eastAsia="zh-CN"/>
        </w:rPr>
        <w:t>；</w:t>
      </w:r>
      <w:r>
        <w:rPr>
          <w:rFonts w:hint="eastAsia" w:ascii="宋体" w:hAnsi="宋体" w:eastAsia="宋体" w:cs="宋体"/>
          <w:kern w:val="2"/>
        </w:rPr>
        <w:t>生物质能技术服务</w:t>
      </w:r>
      <w:r>
        <w:rPr>
          <w:rFonts w:hint="eastAsia" w:cs="宋体"/>
          <w:kern w:val="2"/>
          <w:lang w:val="en-US" w:eastAsia="zh-CN"/>
        </w:rPr>
        <w:t>；</w:t>
      </w:r>
      <w:r>
        <w:rPr>
          <w:rFonts w:hint="eastAsia" w:ascii="宋体" w:hAnsi="宋体" w:eastAsia="宋体" w:cs="宋体"/>
          <w:kern w:val="2"/>
        </w:rPr>
        <w:t>风力发电机组及零部件销售</w:t>
      </w:r>
      <w:r>
        <w:rPr>
          <w:rFonts w:hint="eastAsia" w:cs="宋体"/>
          <w:kern w:val="2"/>
          <w:lang w:val="en-US" w:eastAsia="zh-CN"/>
        </w:rPr>
        <w:t>；</w:t>
      </w:r>
      <w:r>
        <w:rPr>
          <w:rFonts w:hint="eastAsia" w:ascii="宋体" w:hAnsi="宋体" w:eastAsia="宋体" w:cs="宋体"/>
          <w:kern w:val="2"/>
        </w:rPr>
        <w:t>陆上风力发电机组销售</w:t>
      </w:r>
      <w:r>
        <w:rPr>
          <w:rFonts w:hint="eastAsia" w:cs="宋体"/>
          <w:kern w:val="2"/>
          <w:lang w:val="en-US" w:eastAsia="zh-CN"/>
        </w:rPr>
        <w:t>；</w:t>
      </w:r>
      <w:r>
        <w:rPr>
          <w:rFonts w:hint="eastAsia" w:ascii="宋体" w:hAnsi="宋体" w:eastAsia="宋体" w:cs="宋体"/>
          <w:kern w:val="2"/>
        </w:rPr>
        <w:t>海上风电相关装备销售</w:t>
      </w:r>
      <w:r>
        <w:rPr>
          <w:rFonts w:hint="eastAsia" w:cs="宋体"/>
          <w:kern w:val="2"/>
          <w:lang w:val="en-US" w:eastAsia="zh-CN"/>
        </w:rPr>
        <w:t>；</w:t>
      </w:r>
      <w:r>
        <w:rPr>
          <w:rFonts w:hint="eastAsia" w:ascii="宋体" w:hAnsi="宋体" w:eastAsia="宋体" w:cs="宋体"/>
          <w:kern w:val="2"/>
        </w:rPr>
        <w:t>海上风电相关系统研发</w:t>
      </w:r>
      <w:r>
        <w:rPr>
          <w:rFonts w:hint="eastAsia" w:cs="宋体"/>
          <w:kern w:val="2"/>
          <w:lang w:val="en-US" w:eastAsia="zh-CN"/>
        </w:rPr>
        <w:t>；</w:t>
      </w:r>
      <w:r>
        <w:rPr>
          <w:rFonts w:hint="eastAsia" w:ascii="宋体" w:hAnsi="宋体" w:eastAsia="宋体" w:cs="宋体"/>
          <w:kern w:val="2"/>
        </w:rPr>
        <w:t>海上风力发电机组销售</w:t>
      </w:r>
      <w:r>
        <w:rPr>
          <w:rFonts w:hint="eastAsia" w:cs="宋体"/>
          <w:kern w:val="2"/>
          <w:lang w:val="en-US" w:eastAsia="zh-CN"/>
        </w:rPr>
        <w:t>；</w:t>
      </w:r>
      <w:r>
        <w:rPr>
          <w:rFonts w:hint="eastAsia" w:ascii="宋体" w:hAnsi="宋体" w:eastAsia="宋体" w:cs="宋体"/>
          <w:kern w:val="2"/>
        </w:rPr>
        <w:t>光伏发电设备租赁</w:t>
      </w:r>
      <w:r>
        <w:rPr>
          <w:rFonts w:hint="eastAsia" w:cs="宋体"/>
          <w:kern w:val="2"/>
          <w:lang w:val="en-US" w:eastAsia="zh-CN"/>
        </w:rPr>
        <w:t>；</w:t>
      </w:r>
      <w:r>
        <w:rPr>
          <w:rFonts w:hint="eastAsia" w:ascii="宋体" w:hAnsi="宋体" w:eastAsia="宋体" w:cs="宋体"/>
          <w:kern w:val="2"/>
        </w:rPr>
        <w:t>光伏设备及元器件制造</w:t>
      </w:r>
      <w:r>
        <w:rPr>
          <w:rFonts w:hint="eastAsia" w:cs="宋体"/>
          <w:kern w:val="2"/>
          <w:lang w:val="en-US" w:eastAsia="zh-CN"/>
        </w:rPr>
        <w:t>；</w:t>
      </w:r>
      <w:r>
        <w:rPr>
          <w:rFonts w:hint="eastAsia" w:ascii="宋体" w:hAnsi="宋体" w:eastAsia="宋体" w:cs="宋体"/>
          <w:kern w:val="2"/>
        </w:rPr>
        <w:t>发电机及发电机组销售</w:t>
      </w:r>
      <w:r>
        <w:rPr>
          <w:rFonts w:hint="eastAsia" w:cs="宋体"/>
          <w:kern w:val="2"/>
          <w:lang w:val="en-US" w:eastAsia="zh-CN"/>
        </w:rPr>
        <w:t>；</w:t>
      </w:r>
      <w:r>
        <w:rPr>
          <w:rFonts w:hint="eastAsia" w:ascii="宋体" w:hAnsi="宋体" w:eastAsia="宋体" w:cs="宋体"/>
          <w:kern w:val="2"/>
        </w:rPr>
        <w:t>发电机及发电机组制造</w:t>
      </w:r>
      <w:r>
        <w:rPr>
          <w:rFonts w:hint="eastAsia" w:cs="宋体"/>
          <w:kern w:val="2"/>
          <w:lang w:val="en-US" w:eastAsia="zh-CN"/>
        </w:rPr>
        <w:t>；</w:t>
      </w:r>
      <w:r>
        <w:rPr>
          <w:rFonts w:hint="eastAsia" w:ascii="宋体" w:hAnsi="宋体" w:eastAsia="宋体" w:cs="宋体"/>
          <w:kern w:val="2"/>
        </w:rPr>
        <w:t>新能源原动设备销售</w:t>
      </w:r>
      <w:r>
        <w:rPr>
          <w:rFonts w:hint="eastAsia" w:cs="宋体"/>
          <w:kern w:val="2"/>
          <w:lang w:val="en-US" w:eastAsia="zh-CN"/>
        </w:rPr>
        <w:t>；</w:t>
      </w:r>
      <w:r>
        <w:rPr>
          <w:rFonts w:hint="eastAsia" w:ascii="宋体" w:hAnsi="宋体" w:eastAsia="宋体" w:cs="宋体"/>
          <w:kern w:val="2"/>
        </w:rPr>
        <w:t>技术服务、技术开发、技术咨询、技术交流、技术转让、技术推广</w:t>
      </w:r>
      <w:r>
        <w:rPr>
          <w:rFonts w:hint="eastAsia" w:cs="宋体"/>
          <w:kern w:val="2"/>
          <w:lang w:eastAsia="zh-CN"/>
        </w:rPr>
        <w:t>。（</w:t>
      </w:r>
      <w:r>
        <w:rPr>
          <w:rFonts w:hint="eastAsia" w:ascii="宋体" w:hAnsi="宋体" w:eastAsia="宋体" w:cs="宋体"/>
          <w:kern w:val="2"/>
        </w:rPr>
        <w:t>除依法须经批准的项目外,凭营业执照依法自主开展经营活动)(不得从事国家和本市产业政策禁止和限制类项目的经营活动</w:t>
      </w:r>
      <w:r>
        <w:rPr>
          <w:rFonts w:hint="eastAsia" w:cs="宋体"/>
          <w:kern w:val="2"/>
          <w:lang w:eastAsia="zh-CN"/>
        </w:rPr>
        <w:t>。）</w:t>
      </w:r>
    </w:p>
    <w:p>
      <w:pPr>
        <w:widowControl w:val="0"/>
        <w:adjustRightInd w:val="0"/>
        <w:snapToGrid w:val="0"/>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主要财务数据</w:t>
      </w:r>
    </w:p>
    <w:p>
      <w:pPr>
        <w:widowControl w:val="0"/>
        <w:adjustRightInd w:val="0"/>
        <w:snapToGrid w:val="0"/>
        <w:spacing w:line="360" w:lineRule="auto"/>
        <w:ind w:firstLine="480" w:firstLineChars="200"/>
        <w:jc w:val="both"/>
        <w:rPr>
          <w:rFonts w:hint="eastAsia" w:ascii="Times New Roman" w:hAnsi="Times New Roman" w:cs="Times New Roman"/>
          <w:color w:val="auto"/>
          <w:kern w:val="2"/>
        </w:rPr>
      </w:pPr>
      <w:r>
        <w:rPr>
          <w:rFonts w:hint="eastAsia" w:ascii="Times New Roman" w:hAnsi="Times New Roman" w:cs="Times New Roman"/>
          <w:color w:val="auto"/>
          <w:kern w:val="2"/>
        </w:rPr>
        <w:t>2023年末/2023年度</w:t>
      </w:r>
      <w:r>
        <w:rPr>
          <w:rFonts w:hint="eastAsia" w:ascii="Times New Roman" w:hAnsi="Times New Roman" w:cs="Times New Roman"/>
          <w:color w:val="auto"/>
          <w:kern w:val="2"/>
          <w:lang w:eastAsia="zh-CN"/>
        </w:rPr>
        <w:t>，</w:t>
      </w:r>
      <w:r>
        <w:rPr>
          <w:rFonts w:hint="eastAsia" w:ascii="Times New Roman" w:hAnsi="Times New Roman" w:cs="Times New Roman"/>
          <w:color w:val="auto"/>
          <w:kern w:val="2"/>
        </w:rPr>
        <w:t>总资产2</w:t>
      </w:r>
      <w:r>
        <w:rPr>
          <w:rFonts w:hint="eastAsia" w:ascii="Times New Roman" w:hAnsi="Times New Roman" w:cs="Times New Roman"/>
          <w:color w:val="auto"/>
          <w:kern w:val="2"/>
          <w:lang w:val="en-US" w:eastAsia="zh-CN"/>
        </w:rPr>
        <w:t>,</w:t>
      </w:r>
      <w:r>
        <w:rPr>
          <w:rFonts w:hint="eastAsia" w:ascii="Times New Roman" w:hAnsi="Times New Roman" w:cs="Times New Roman"/>
          <w:color w:val="auto"/>
          <w:kern w:val="2"/>
        </w:rPr>
        <w:t>679.66亿元，净资产820.23亿元，主营业务收入275.43亿元，净利润74.33亿元（已经审计）。</w:t>
      </w:r>
    </w:p>
    <w:p>
      <w:pPr>
        <w:widowControl w:val="0"/>
        <w:adjustRightInd w:val="0"/>
        <w:snapToGrid w:val="0"/>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2024年6月末/2024年1-6月，总资产2</w:t>
      </w:r>
      <w:r>
        <w:rPr>
          <w:rFonts w:hint="eastAsia" w:ascii="Times New Roman" w:hAnsi="Times New Roman" w:cs="Times New Roman"/>
          <w:color w:val="auto"/>
          <w:kern w:val="2"/>
          <w:lang w:val="en-US" w:eastAsia="zh-CN"/>
        </w:rPr>
        <w:t>,</w:t>
      </w:r>
      <w:r>
        <w:rPr>
          <w:rFonts w:hint="eastAsia" w:ascii="Times New Roman" w:hAnsi="Times New Roman" w:cs="Times New Roman"/>
          <w:color w:val="auto"/>
          <w:kern w:val="2"/>
        </w:rPr>
        <w:t>862.18亿元，净资产865.48亿元，主营业务收</w:t>
      </w:r>
      <w:r>
        <w:rPr>
          <w:rFonts w:hint="eastAsia" w:ascii="Times New Roman" w:hAnsi="Times New Roman" w:cs="Times New Roman"/>
          <w:color w:val="auto"/>
          <w:kern w:val="2"/>
          <w:lang w:val="en-US" w:eastAsia="zh-CN"/>
        </w:rPr>
        <w:t>入</w:t>
      </w:r>
      <w:r>
        <w:rPr>
          <w:rFonts w:hint="eastAsia" w:ascii="Times New Roman" w:hAnsi="Times New Roman" w:cs="Times New Roman"/>
          <w:color w:val="auto"/>
          <w:kern w:val="2"/>
        </w:rPr>
        <w:t>154.47亿元，净利润50.6</w:t>
      </w:r>
      <w:r>
        <w:rPr>
          <w:rFonts w:hint="eastAsia" w:ascii="Times New Roman" w:hAnsi="Times New Roman" w:cs="Times New Roman"/>
          <w:color w:val="auto"/>
          <w:kern w:val="2"/>
          <w:lang w:val="en-US" w:eastAsia="zh-CN"/>
        </w:rPr>
        <w:t>0</w:t>
      </w:r>
      <w:r>
        <w:rPr>
          <w:rFonts w:hint="eastAsia" w:ascii="Times New Roman" w:hAnsi="Times New Roman" w:cs="Times New Roman"/>
          <w:color w:val="auto"/>
          <w:kern w:val="2"/>
        </w:rPr>
        <w:t>亿元（未经审计）。</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2</w:t>
      </w:r>
      <w:r>
        <w:rPr>
          <w:rFonts w:hint="eastAsia" w:ascii="Times New Roman" w:hAnsi="Times New Roman" w:cs="Times New Roman"/>
          <w:kern w:val="2"/>
          <w:lang w:eastAsia="zh-CN"/>
        </w:rPr>
        <w:t>.</w:t>
      </w:r>
      <w:r>
        <w:rPr>
          <w:rFonts w:ascii="Times New Roman" w:hAnsi="Times New Roman" w:cs="Times New Roman"/>
          <w:kern w:val="2"/>
        </w:rPr>
        <w:t>与公司的关联关系</w:t>
      </w:r>
    </w:p>
    <w:p>
      <w:pPr>
        <w:widowControl w:val="0"/>
        <w:adjustRightInd w:val="0"/>
        <w:snapToGrid w:val="0"/>
        <w:spacing w:line="360" w:lineRule="auto"/>
        <w:ind w:firstLine="480" w:firstLineChars="200"/>
        <w:jc w:val="both"/>
        <w:rPr>
          <w:rFonts w:hint="eastAsia" w:ascii="Times New Roman" w:hAnsi="Times New Roman" w:eastAsia="宋体" w:cs="Times New Roman"/>
          <w:kern w:val="2"/>
          <w:lang w:val="en-US" w:eastAsia="zh-CN"/>
        </w:rPr>
      </w:pPr>
      <w:r>
        <w:rPr>
          <w:rFonts w:ascii="Times New Roman" w:hAnsi="Times New Roman" w:cs="Times New Roman"/>
          <w:kern w:val="2"/>
        </w:rPr>
        <w:t>中国广核集团有限公司系公司实际控制人，</w:t>
      </w:r>
      <w:r>
        <w:rPr>
          <w:rFonts w:hint="eastAsia" w:ascii="Times New Roman" w:hAnsi="Times New Roman" w:cs="Times New Roman"/>
          <w:kern w:val="2"/>
        </w:rPr>
        <w:t>中国广核集团有限公司</w:t>
      </w:r>
      <w:r>
        <w:rPr>
          <w:rFonts w:hint="eastAsia" w:ascii="Times New Roman" w:hAnsi="Times New Roman" w:cs="Times New Roman"/>
          <w:kern w:val="2"/>
          <w:lang w:val="en-US" w:eastAsia="zh-CN"/>
        </w:rPr>
        <w:t>的</w:t>
      </w:r>
      <w:r>
        <w:rPr>
          <w:rFonts w:hint="eastAsia" w:ascii="Times New Roman" w:hAnsi="Times New Roman" w:cs="Times New Roman"/>
          <w:kern w:val="2"/>
        </w:rPr>
        <w:t>下属</w:t>
      </w:r>
      <w:r>
        <w:rPr>
          <w:rFonts w:hint="eastAsia" w:ascii="Times New Roman" w:hAnsi="Times New Roman" w:cs="Times New Roman"/>
          <w:kern w:val="2"/>
          <w:lang w:val="en-US" w:eastAsia="zh-CN"/>
        </w:rPr>
        <w:t>控股</w:t>
      </w:r>
      <w:r>
        <w:rPr>
          <w:rFonts w:hint="eastAsia" w:ascii="Times New Roman" w:hAnsi="Times New Roman" w:cs="Times New Roman"/>
          <w:kern w:val="2"/>
        </w:rPr>
        <w:t>子公司中广核风电有限公司</w:t>
      </w:r>
      <w:r>
        <w:rPr>
          <w:rFonts w:hint="eastAsia" w:ascii="Times New Roman" w:hAnsi="Times New Roman" w:cs="Times New Roman"/>
          <w:kern w:val="2"/>
          <w:lang w:val="en-US" w:eastAsia="zh-CN"/>
        </w:rPr>
        <w:t>属于</w:t>
      </w:r>
      <w:r>
        <w:rPr>
          <w:rFonts w:ascii="Times New Roman" w:hAnsi="Times New Roman" w:cs="Times New Roman"/>
          <w:kern w:val="2"/>
        </w:rPr>
        <w:t>《深圳证券交易所股票上市规则》</w:t>
      </w:r>
      <w:r>
        <w:rPr>
          <w:rFonts w:hint="eastAsia" w:ascii="Times New Roman" w:hAnsi="Times New Roman" w:cs="Times New Roman"/>
          <w:kern w:val="2"/>
        </w:rPr>
        <w:t>第</w:t>
      </w:r>
      <w:r>
        <w:rPr>
          <w:rFonts w:ascii="Times New Roman" w:hAnsi="Times New Roman" w:cs="Times New Roman"/>
          <w:kern w:val="2"/>
        </w:rPr>
        <w:t>6.3.3条第二款第</w:t>
      </w:r>
      <w:r>
        <w:rPr>
          <w:rFonts w:hint="eastAsia" w:ascii="Times New Roman" w:hAnsi="Times New Roman" w:cs="Times New Roman"/>
          <w:kern w:val="2"/>
          <w:lang w:val="en-US" w:eastAsia="zh-CN"/>
        </w:rPr>
        <w:t>二</w:t>
      </w:r>
      <w:r>
        <w:rPr>
          <w:rFonts w:ascii="Times New Roman" w:hAnsi="Times New Roman" w:cs="Times New Roman"/>
          <w:kern w:val="2"/>
        </w:rPr>
        <w:t>项规定的关联关系</w:t>
      </w:r>
      <w:r>
        <w:rPr>
          <w:rFonts w:hint="eastAsia" w:ascii="Times New Roman" w:hAnsi="Times New Roman" w:cs="Times New Roman"/>
          <w:kern w:val="2"/>
          <w:lang w:eastAsia="zh-CN"/>
        </w:rPr>
        <w:t>。</w:t>
      </w:r>
    </w:p>
    <w:p>
      <w:pPr>
        <w:widowControl w:val="0"/>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3</w:t>
      </w:r>
      <w:r>
        <w:rPr>
          <w:rFonts w:hint="eastAsia" w:ascii="Times New Roman" w:hAnsi="Times New Roman" w:cs="Times New Roman"/>
          <w:kern w:val="2"/>
          <w:lang w:eastAsia="zh-CN"/>
        </w:rPr>
        <w:t>.</w:t>
      </w:r>
      <w:r>
        <w:rPr>
          <w:rFonts w:ascii="Times New Roman" w:hAnsi="Times New Roman" w:cs="Times New Roman"/>
          <w:kern w:val="2"/>
        </w:rPr>
        <w:t>履约能力分析</w:t>
      </w:r>
    </w:p>
    <w:p>
      <w:pPr>
        <w:widowControl w:val="0"/>
        <w:adjustRightInd w:val="0"/>
        <w:snapToGrid w:val="0"/>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中广核风电有限公司</w:t>
      </w:r>
      <w:r>
        <w:rPr>
          <w:rFonts w:ascii="Times New Roman" w:hAnsi="Times New Roman" w:cs="Times New Roman"/>
          <w:kern w:val="2"/>
        </w:rPr>
        <w:t>不是失信主体，财务状况和经营情况均处于良好状态，关联交易执行情况良好，具备相应履约能力，不存在履约风险。</w:t>
      </w:r>
    </w:p>
    <w:p>
      <w:pPr>
        <w:pStyle w:val="21"/>
        <w:adjustRightInd w:val="0"/>
        <w:snapToGrid w:val="0"/>
        <w:spacing w:line="360" w:lineRule="auto"/>
        <w:ind w:firstLine="482"/>
        <w:outlineLvl w:val="0"/>
        <w:rPr>
          <w:rFonts w:hint="default"/>
          <w:b/>
          <w:sz w:val="24"/>
          <w:lang w:val="en-US" w:eastAsia="zh-CN"/>
        </w:rPr>
      </w:pPr>
      <w:r>
        <w:rPr>
          <w:rFonts w:hint="eastAsia"/>
          <w:b/>
          <w:sz w:val="24"/>
          <w:lang w:val="en-US" w:eastAsia="zh-CN"/>
        </w:rPr>
        <w:t>三、项目基本情况</w:t>
      </w:r>
    </w:p>
    <w:p>
      <w:pPr>
        <w:widowControl w:val="0"/>
        <w:numPr>
          <w:ilvl w:val="0"/>
          <w:numId w:val="0"/>
        </w:numPr>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采购人：中广核风电有限公司</w:t>
      </w:r>
    </w:p>
    <w:p>
      <w:pPr>
        <w:widowControl w:val="0"/>
        <w:numPr>
          <w:ilvl w:val="0"/>
          <w:numId w:val="0"/>
        </w:numPr>
        <w:adjustRightInd w:val="0"/>
        <w:snapToGrid w:val="0"/>
        <w:spacing w:line="360" w:lineRule="auto"/>
        <w:ind w:firstLine="480" w:firstLineChars="200"/>
        <w:jc w:val="both"/>
        <w:rPr>
          <w:rFonts w:hint="eastAsia" w:ascii="Times New Roman" w:hAnsi="Times New Roman" w:cs="Times New Roman"/>
          <w:kern w:val="2"/>
          <w:szCs w:val="20"/>
          <w:lang w:val="en-US" w:eastAsia="zh-CN"/>
        </w:rPr>
      </w:pPr>
      <w:r>
        <w:rPr>
          <w:rFonts w:hint="default" w:ascii="Times New Roman" w:hAnsi="Times New Roman" w:cs="Times New Roman"/>
          <w:kern w:val="2"/>
          <w:szCs w:val="20"/>
          <w:lang w:val="en-US" w:eastAsia="zh-CN"/>
        </w:rPr>
        <w:t>招标项目名称</w:t>
      </w:r>
      <w:r>
        <w:rPr>
          <w:rFonts w:hint="eastAsia" w:ascii="Times New Roman" w:hAnsi="Times New Roman" w:cs="Times New Roman"/>
          <w:kern w:val="2"/>
          <w:szCs w:val="20"/>
          <w:lang w:val="en-US" w:eastAsia="zh-CN"/>
        </w:rPr>
        <w:t>：中广核新能源2024-2025年电缆设备框架采购（第五标段：光伏专用电缆）</w:t>
      </w:r>
    </w:p>
    <w:p>
      <w:pPr>
        <w:widowControl w:val="0"/>
        <w:numPr>
          <w:ilvl w:val="0"/>
          <w:numId w:val="0"/>
        </w:numPr>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中标金额：18,309.90万元</w:t>
      </w:r>
    </w:p>
    <w:p>
      <w:pPr>
        <w:widowControl w:val="0"/>
        <w:numPr>
          <w:ilvl w:val="0"/>
          <w:numId w:val="0"/>
        </w:numPr>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标的物：光伏专用电缆，预计容量600万千瓦，储备容量600万千瓦，涵盖全国地区光伏业态（光伏专用直流1-1.5kV电缆），买方可以根据项目实际情况调整框架合同涵盖的全国地区或项目</w:t>
      </w:r>
    </w:p>
    <w:p>
      <w:pPr>
        <w:widowControl w:val="0"/>
        <w:numPr>
          <w:ilvl w:val="0"/>
          <w:numId w:val="0"/>
        </w:numPr>
        <w:adjustRightInd w:val="0"/>
        <w:snapToGrid w:val="0"/>
        <w:spacing w:line="360" w:lineRule="auto"/>
        <w:ind w:firstLine="480" w:firstLineChars="200"/>
        <w:jc w:val="both"/>
        <w:rPr>
          <w:rFonts w:hint="default" w:ascii="Times New Roman" w:hAnsi="Times New Roman" w:cs="Times New Roman"/>
          <w:kern w:val="2"/>
          <w:szCs w:val="20"/>
          <w:lang w:val="en-US" w:eastAsia="zh-CN"/>
        </w:rPr>
      </w:pPr>
      <w:r>
        <w:rPr>
          <w:rFonts w:hint="default" w:ascii="Times New Roman" w:hAnsi="Times New Roman" w:cs="Times New Roman"/>
          <w:kern w:val="2"/>
          <w:szCs w:val="20"/>
          <w:lang w:val="en-US" w:eastAsia="zh-CN"/>
        </w:rPr>
        <w:t>协议有效期：自协议签订之日起，2025年12月31日止</w:t>
      </w:r>
    </w:p>
    <w:p>
      <w:pPr>
        <w:pStyle w:val="21"/>
        <w:adjustRightInd w:val="0"/>
        <w:snapToGrid w:val="0"/>
        <w:spacing w:line="360" w:lineRule="auto"/>
        <w:ind w:firstLine="482"/>
        <w:outlineLvl w:val="0"/>
        <w:rPr>
          <w:rFonts w:hint="default"/>
          <w:b/>
          <w:sz w:val="24"/>
          <w:lang w:val="en-US" w:eastAsia="zh-CN"/>
        </w:rPr>
      </w:pPr>
      <w:r>
        <w:rPr>
          <w:rFonts w:hint="eastAsia"/>
          <w:b/>
          <w:sz w:val="24"/>
          <w:lang w:val="en-US" w:eastAsia="zh-CN"/>
        </w:rPr>
        <w:t>四、定价政策及定价依据</w:t>
      </w:r>
    </w:p>
    <w:p>
      <w:pPr>
        <w:widowControl w:val="0"/>
        <w:adjustRightInd w:val="0"/>
        <w:snapToGrid w:val="0"/>
        <w:spacing w:line="360" w:lineRule="auto"/>
        <w:ind w:firstLine="480" w:firstLineChars="200"/>
        <w:jc w:val="both"/>
        <w:rPr>
          <w:rFonts w:hint="eastAsia" w:ascii="Times New Roman" w:hAnsi="Times New Roman" w:cs="Times New Roman"/>
          <w:kern w:val="2"/>
          <w:szCs w:val="20"/>
        </w:rPr>
      </w:pPr>
      <w:r>
        <w:rPr>
          <w:rFonts w:hint="eastAsia" w:ascii="Times New Roman" w:hAnsi="Times New Roman" w:cs="Times New Roman"/>
          <w:kern w:val="2"/>
          <w:szCs w:val="20"/>
        </w:rPr>
        <w:t>本次交易的定价遵循市场化原则，合同价格为固定单价+调价机制，最终结算价格以实际执行的订单累计金额为准。</w:t>
      </w:r>
    </w:p>
    <w:p>
      <w:pPr>
        <w:widowControl w:val="0"/>
        <w:adjustRightInd w:val="0"/>
        <w:snapToGrid w:val="0"/>
        <w:spacing w:line="360" w:lineRule="auto"/>
        <w:ind w:firstLine="482" w:firstLineChars="200"/>
        <w:jc w:val="both"/>
        <w:rPr>
          <w:rFonts w:hint="eastAsia" w:ascii="Times New Roman" w:hAnsi="Times New Roman" w:eastAsia="宋体" w:cs="Times New Roman"/>
          <w:b/>
          <w:bCs/>
          <w:kern w:val="2"/>
          <w:szCs w:val="20"/>
          <w:lang w:val="en-US" w:eastAsia="zh-CN"/>
        </w:rPr>
      </w:pPr>
      <w:r>
        <w:rPr>
          <w:rFonts w:hint="eastAsia" w:ascii="Times New Roman" w:hAnsi="Times New Roman" w:cs="Times New Roman"/>
          <w:b/>
          <w:bCs/>
          <w:kern w:val="2"/>
          <w:szCs w:val="20"/>
          <w:lang w:val="en-US" w:eastAsia="zh-CN"/>
        </w:rPr>
        <w:t>五、关联交易协议的主要内容</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Cs w:val="20"/>
          <w:lang w:val="en-US" w:eastAsia="zh-CN"/>
        </w:rPr>
      </w:pPr>
      <w:r>
        <w:rPr>
          <w:rFonts w:hint="eastAsia" w:ascii="Times New Roman" w:hAnsi="Times New Roman" w:cs="Times New Roman"/>
          <w:kern w:val="2"/>
          <w:szCs w:val="20"/>
          <w:lang w:val="en-US" w:eastAsia="zh-CN"/>
        </w:rPr>
        <w:t>公司已收到中标结果。后续，公司将严格按照《深圳证券交易所股票上市规则》《公司章程》等相关规定履行相应的审议程序后，由江苏中广核金沃电子科技有限公司就该项目与中广核风电有限公司签署相关合同。</w:t>
      </w:r>
    </w:p>
    <w:p>
      <w:pPr>
        <w:widowControl w:val="0"/>
        <w:adjustRightInd w:val="0"/>
        <w:snapToGrid w:val="0"/>
        <w:spacing w:line="360" w:lineRule="auto"/>
        <w:ind w:firstLine="482" w:firstLineChars="200"/>
        <w:jc w:val="both"/>
        <w:rPr>
          <w:rFonts w:hint="eastAsia" w:ascii="Times New Roman" w:hAnsi="Times New Roman" w:cs="Times New Roman"/>
          <w:b/>
          <w:bCs/>
          <w:kern w:val="2"/>
          <w:szCs w:val="20"/>
          <w:lang w:val="en-US" w:eastAsia="zh-CN"/>
        </w:rPr>
      </w:pPr>
      <w:r>
        <w:rPr>
          <w:rFonts w:hint="eastAsia" w:ascii="Times New Roman" w:hAnsi="Times New Roman" w:cs="Times New Roman"/>
          <w:b/>
          <w:bCs/>
          <w:kern w:val="2"/>
          <w:szCs w:val="20"/>
          <w:lang w:val="en-US" w:eastAsia="zh-CN"/>
        </w:rPr>
        <w:t>六、关联交易目的和对公司的影响</w:t>
      </w:r>
    </w:p>
    <w:p>
      <w:pPr>
        <w:widowControl w:val="0"/>
        <w:adjustRightInd w:val="0"/>
        <w:snapToGrid w:val="0"/>
        <w:spacing w:line="360" w:lineRule="auto"/>
        <w:ind w:firstLine="480" w:firstLineChars="200"/>
        <w:jc w:val="both"/>
        <w:rPr>
          <w:rFonts w:hint="eastAsia" w:ascii="Times New Roman" w:hAnsi="Times New Roman" w:cs="Times New Roman"/>
          <w:kern w:val="2"/>
          <w:szCs w:val="20"/>
        </w:rPr>
      </w:pPr>
      <w:r>
        <w:rPr>
          <w:rFonts w:hint="eastAsia" w:ascii="Times New Roman" w:hAnsi="Times New Roman" w:cs="Times New Roman"/>
          <w:kern w:val="2"/>
          <w:szCs w:val="20"/>
        </w:rPr>
        <w:t>公司及子公司与关联方开展上述日常关联交易事项，有助于公司日常生产经营的开展。交易以市场价格为定价依据，遵循公平、公正、公开的原则，不会损害公司及股东利益，公司主要业务不会因上述关联交易对关联方形成依赖，不会影响公司独立性。</w:t>
      </w:r>
    </w:p>
    <w:p>
      <w:pPr>
        <w:pStyle w:val="21"/>
        <w:adjustRightInd w:val="0"/>
        <w:snapToGrid w:val="0"/>
        <w:spacing w:line="360" w:lineRule="auto"/>
        <w:ind w:firstLine="482"/>
        <w:outlineLvl w:val="0"/>
        <w:rPr>
          <w:b/>
          <w:sz w:val="24"/>
        </w:rPr>
      </w:pPr>
      <w:r>
        <w:rPr>
          <w:rFonts w:hint="eastAsia"/>
          <w:b/>
          <w:sz w:val="24"/>
          <w:lang w:val="en-US" w:eastAsia="zh-CN"/>
        </w:rPr>
        <w:t>七</w:t>
      </w:r>
      <w:r>
        <w:rPr>
          <w:b/>
          <w:sz w:val="24"/>
        </w:rPr>
        <w:t>、备查文件</w:t>
      </w:r>
    </w:p>
    <w:p>
      <w:pPr>
        <w:widowControl w:val="0"/>
        <w:adjustRightInd w:val="0"/>
        <w:snapToGrid w:val="0"/>
        <w:spacing w:line="360" w:lineRule="auto"/>
        <w:ind w:firstLine="480" w:firstLineChars="200"/>
        <w:jc w:val="both"/>
        <w:rPr>
          <w:rFonts w:ascii="Times New Roman" w:hAnsi="Times New Roman" w:cs="Times New Roman"/>
          <w:kern w:val="2"/>
          <w:szCs w:val="20"/>
        </w:rPr>
      </w:pPr>
      <w:r>
        <w:rPr>
          <w:rFonts w:ascii="Times New Roman" w:hAnsi="Times New Roman" w:cs="Times New Roman"/>
          <w:kern w:val="2"/>
          <w:szCs w:val="20"/>
        </w:rPr>
        <w:t>1</w:t>
      </w:r>
      <w:r>
        <w:rPr>
          <w:rFonts w:hint="eastAsia" w:ascii="Times New Roman" w:hAnsi="Times New Roman" w:cs="Times New Roman"/>
          <w:kern w:val="2"/>
          <w:szCs w:val="20"/>
          <w:lang w:eastAsia="zh-CN"/>
        </w:rPr>
        <w:t>.</w:t>
      </w:r>
      <w:r>
        <w:rPr>
          <w:rFonts w:hint="eastAsia" w:ascii="Times New Roman" w:hAnsi="Times New Roman" w:cs="Times New Roman"/>
          <w:kern w:val="2"/>
          <w:szCs w:val="20"/>
        </w:rPr>
        <w:t>《中广核新能源2024-2025年电缆设备框架采购（第五标段：光伏专用电缆）</w:t>
      </w:r>
      <w:r>
        <w:rPr>
          <w:rFonts w:hint="eastAsia" w:ascii="Times New Roman" w:hAnsi="Times New Roman" w:cs="Times New Roman"/>
          <w:kern w:val="2"/>
          <w:szCs w:val="20"/>
          <w:lang w:val="en-US" w:eastAsia="zh-CN"/>
        </w:rPr>
        <w:t>中标结果公示</w:t>
      </w:r>
      <w:r>
        <w:rPr>
          <w:rFonts w:hint="eastAsia" w:ascii="Times New Roman" w:hAnsi="Times New Roman" w:cs="Times New Roman"/>
          <w:kern w:val="2"/>
          <w:szCs w:val="20"/>
        </w:rPr>
        <w:t>》</w:t>
      </w:r>
    </w:p>
    <w:p>
      <w:pPr>
        <w:widowControl w:val="0"/>
        <w:adjustRightInd w:val="0"/>
        <w:snapToGrid w:val="0"/>
        <w:spacing w:line="360" w:lineRule="auto"/>
        <w:ind w:firstLine="480" w:firstLineChars="200"/>
        <w:jc w:val="both"/>
        <w:rPr>
          <w:rFonts w:ascii="Times New Roman" w:hAnsi="Times New Roman" w:cs="Times New Roman"/>
          <w:szCs w:val="20"/>
        </w:rPr>
      </w:pPr>
      <w:r>
        <w:rPr>
          <w:rFonts w:ascii="Times New Roman" w:hAnsi="Times New Roman" w:cs="Times New Roman"/>
          <w:szCs w:val="20"/>
        </w:rPr>
        <w:t>特此公告。</w:t>
      </w:r>
    </w:p>
    <w:p>
      <w:pPr>
        <w:widowControl w:val="0"/>
        <w:adjustRightInd w:val="0"/>
        <w:snapToGrid w:val="0"/>
        <w:spacing w:line="360" w:lineRule="auto"/>
        <w:ind w:firstLine="480" w:firstLineChars="200"/>
        <w:jc w:val="both"/>
        <w:rPr>
          <w:rFonts w:ascii="Times New Roman" w:hAnsi="Times New Roman" w:cs="Times New Roman"/>
          <w:szCs w:val="20"/>
        </w:rPr>
      </w:pPr>
    </w:p>
    <w:p>
      <w:pPr>
        <w:widowControl w:val="0"/>
        <w:adjustRightInd w:val="0"/>
        <w:snapToGrid w:val="0"/>
        <w:spacing w:line="360" w:lineRule="auto"/>
        <w:ind w:firstLine="480" w:firstLineChars="200"/>
        <w:jc w:val="both"/>
        <w:rPr>
          <w:rFonts w:ascii="Times New Roman" w:hAnsi="Times New Roman" w:cs="Times New Roman"/>
          <w:szCs w:val="20"/>
        </w:rPr>
      </w:pPr>
    </w:p>
    <w:p>
      <w:pPr>
        <w:widowControl w:val="0"/>
        <w:adjustRightInd w:val="0"/>
        <w:snapToGrid w:val="0"/>
        <w:spacing w:line="360" w:lineRule="auto"/>
        <w:ind w:firstLine="480" w:firstLineChars="200"/>
        <w:jc w:val="both"/>
        <w:rPr>
          <w:rFonts w:ascii="Times New Roman" w:hAnsi="Times New Roman" w:cs="Times New Roman"/>
          <w:szCs w:val="20"/>
        </w:rPr>
      </w:pPr>
    </w:p>
    <w:p>
      <w:pPr>
        <w:widowControl w:val="0"/>
        <w:adjustRightInd w:val="0"/>
        <w:snapToGrid w:val="0"/>
        <w:spacing w:line="360" w:lineRule="auto"/>
        <w:ind w:left="480"/>
        <w:jc w:val="right"/>
        <w:rPr>
          <w:rFonts w:ascii="Times New Roman" w:hAnsi="Times New Roman" w:cs="Times New Roman"/>
          <w:b/>
          <w:kern w:val="2"/>
          <w:szCs w:val="20"/>
        </w:rPr>
      </w:pPr>
      <w:r>
        <w:rPr>
          <w:rFonts w:ascii="Times New Roman" w:hAnsi="Times New Roman" w:cs="Times New Roman"/>
          <w:b/>
          <w:kern w:val="2"/>
          <w:szCs w:val="20"/>
        </w:rPr>
        <w:t>中广核核技术发展股份有限公司</w:t>
      </w:r>
    </w:p>
    <w:p>
      <w:pPr>
        <w:widowControl w:val="0"/>
        <w:adjustRightInd w:val="0"/>
        <w:snapToGrid w:val="0"/>
        <w:spacing w:line="360" w:lineRule="auto"/>
        <w:ind w:left="480"/>
        <w:jc w:val="right"/>
        <w:rPr>
          <w:rFonts w:ascii="Times New Roman" w:hAnsi="Times New Roman" w:cs="Times New Roman"/>
          <w:b/>
          <w:kern w:val="2"/>
          <w:szCs w:val="20"/>
        </w:rPr>
      </w:pPr>
      <w:r>
        <w:rPr>
          <w:rFonts w:ascii="Times New Roman" w:hAnsi="Times New Roman" w:cs="Times New Roman"/>
          <w:b/>
          <w:kern w:val="2"/>
          <w:szCs w:val="20"/>
        </w:rPr>
        <w:t>董事会</w:t>
      </w:r>
    </w:p>
    <w:p>
      <w:pPr>
        <w:widowControl w:val="0"/>
        <w:adjustRightInd w:val="0"/>
        <w:snapToGrid w:val="0"/>
        <w:spacing w:line="360" w:lineRule="auto"/>
        <w:ind w:left="480" w:firstLine="482"/>
        <w:jc w:val="right"/>
        <w:rPr>
          <w:rFonts w:ascii="Times New Roman" w:hAnsi="Times New Roman" w:cs="Times New Roman"/>
          <w:color w:val="auto"/>
        </w:rPr>
      </w:pPr>
      <w:r>
        <w:rPr>
          <w:rFonts w:ascii="Times New Roman" w:hAnsi="Times New Roman" w:cs="Times New Roman"/>
          <w:b/>
          <w:color w:val="auto"/>
          <w:kern w:val="2"/>
          <w:szCs w:val="20"/>
        </w:rPr>
        <w:t>202</w:t>
      </w:r>
      <w:r>
        <w:rPr>
          <w:rFonts w:hint="eastAsia" w:ascii="Times New Roman" w:hAnsi="Times New Roman" w:cs="Times New Roman"/>
          <w:b/>
          <w:color w:val="auto"/>
          <w:kern w:val="2"/>
          <w:szCs w:val="20"/>
        </w:rPr>
        <w:t>4</w:t>
      </w:r>
      <w:r>
        <w:rPr>
          <w:rFonts w:ascii="Times New Roman" w:hAnsi="Times New Roman" w:cs="Times New Roman"/>
          <w:b/>
          <w:color w:val="auto"/>
          <w:kern w:val="2"/>
          <w:szCs w:val="20"/>
        </w:rPr>
        <w:t>年</w:t>
      </w:r>
      <w:r>
        <w:rPr>
          <w:rFonts w:hint="eastAsia" w:ascii="Times New Roman" w:hAnsi="Times New Roman" w:cs="Times New Roman"/>
          <w:b/>
          <w:color w:val="auto"/>
          <w:kern w:val="2"/>
          <w:szCs w:val="20"/>
        </w:rPr>
        <w:t>1</w:t>
      </w:r>
      <w:r>
        <w:rPr>
          <w:rFonts w:hint="eastAsia" w:ascii="Times New Roman" w:hAnsi="Times New Roman" w:cs="Times New Roman"/>
          <w:b/>
          <w:color w:val="auto"/>
          <w:kern w:val="2"/>
          <w:szCs w:val="20"/>
          <w:lang w:val="en-US" w:eastAsia="zh-CN"/>
        </w:rPr>
        <w:t>1</w:t>
      </w:r>
      <w:r>
        <w:rPr>
          <w:rFonts w:ascii="Times New Roman" w:hAnsi="Times New Roman" w:cs="Times New Roman"/>
          <w:b/>
          <w:color w:val="auto"/>
          <w:kern w:val="2"/>
          <w:szCs w:val="20"/>
        </w:rPr>
        <w:t>月</w:t>
      </w:r>
      <w:r>
        <w:rPr>
          <w:rFonts w:hint="eastAsia" w:ascii="Times New Roman" w:hAnsi="Times New Roman" w:cs="Times New Roman"/>
          <w:b/>
          <w:color w:val="auto"/>
          <w:kern w:val="2"/>
          <w:szCs w:val="20"/>
          <w:lang w:val="en-US" w:eastAsia="zh-CN"/>
        </w:rPr>
        <w:t>8</w:t>
      </w:r>
      <w:r>
        <w:rPr>
          <w:rFonts w:ascii="Times New Roman" w:hAnsi="Times New Roman" w:cs="Times New Roman"/>
          <w:b/>
          <w:color w:val="auto"/>
          <w:kern w:val="2"/>
          <w:szCs w:val="20"/>
        </w:rPr>
        <w:t>日</w:t>
      </w:r>
    </w:p>
    <w:sectPr>
      <w:pgSz w:w="11906" w:h="16838"/>
      <w:pgMar w:top="1588" w:right="1588" w:bottom="1588"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2F"/>
    <w:rsid w:val="00001C54"/>
    <w:rsid w:val="00014662"/>
    <w:rsid w:val="000308B3"/>
    <w:rsid w:val="00046C5F"/>
    <w:rsid w:val="000549A3"/>
    <w:rsid w:val="000550A0"/>
    <w:rsid w:val="00062B5B"/>
    <w:rsid w:val="00065A9F"/>
    <w:rsid w:val="00067F26"/>
    <w:rsid w:val="000701FD"/>
    <w:rsid w:val="00070261"/>
    <w:rsid w:val="00070D12"/>
    <w:rsid w:val="0007700B"/>
    <w:rsid w:val="0007703F"/>
    <w:rsid w:val="000770C9"/>
    <w:rsid w:val="00081E24"/>
    <w:rsid w:val="00082519"/>
    <w:rsid w:val="000846A5"/>
    <w:rsid w:val="00085A62"/>
    <w:rsid w:val="000867FD"/>
    <w:rsid w:val="00087AE1"/>
    <w:rsid w:val="00092654"/>
    <w:rsid w:val="000935D8"/>
    <w:rsid w:val="0009419A"/>
    <w:rsid w:val="00096C23"/>
    <w:rsid w:val="000A1ABC"/>
    <w:rsid w:val="000A200B"/>
    <w:rsid w:val="000A67F3"/>
    <w:rsid w:val="000A7D4F"/>
    <w:rsid w:val="000B00E5"/>
    <w:rsid w:val="000B0B6A"/>
    <w:rsid w:val="000B0FDB"/>
    <w:rsid w:val="000B1043"/>
    <w:rsid w:val="000B3FF9"/>
    <w:rsid w:val="000B425B"/>
    <w:rsid w:val="000B6483"/>
    <w:rsid w:val="000C00F9"/>
    <w:rsid w:val="000C1187"/>
    <w:rsid w:val="000C13F6"/>
    <w:rsid w:val="000C17F0"/>
    <w:rsid w:val="000C3232"/>
    <w:rsid w:val="000C614A"/>
    <w:rsid w:val="000C6C5E"/>
    <w:rsid w:val="000C7CE1"/>
    <w:rsid w:val="000D405F"/>
    <w:rsid w:val="000D58FC"/>
    <w:rsid w:val="000D67C6"/>
    <w:rsid w:val="000E590A"/>
    <w:rsid w:val="000E5BE1"/>
    <w:rsid w:val="000F0E23"/>
    <w:rsid w:val="000F2C8E"/>
    <w:rsid w:val="000F7462"/>
    <w:rsid w:val="000F7907"/>
    <w:rsid w:val="001009C6"/>
    <w:rsid w:val="00101E29"/>
    <w:rsid w:val="00105056"/>
    <w:rsid w:val="00105570"/>
    <w:rsid w:val="001149DE"/>
    <w:rsid w:val="001231A0"/>
    <w:rsid w:val="001244B2"/>
    <w:rsid w:val="00127BBB"/>
    <w:rsid w:val="00132F78"/>
    <w:rsid w:val="001341AA"/>
    <w:rsid w:val="001347F8"/>
    <w:rsid w:val="001349AD"/>
    <w:rsid w:val="001376E3"/>
    <w:rsid w:val="00137F5D"/>
    <w:rsid w:val="0014294F"/>
    <w:rsid w:val="00143252"/>
    <w:rsid w:val="0014489B"/>
    <w:rsid w:val="00146DCC"/>
    <w:rsid w:val="00152232"/>
    <w:rsid w:val="001620AD"/>
    <w:rsid w:val="001654CF"/>
    <w:rsid w:val="001670B0"/>
    <w:rsid w:val="00172487"/>
    <w:rsid w:val="0017306E"/>
    <w:rsid w:val="00174615"/>
    <w:rsid w:val="00177F17"/>
    <w:rsid w:val="00180320"/>
    <w:rsid w:val="00183FA8"/>
    <w:rsid w:val="00184DBA"/>
    <w:rsid w:val="00192FC5"/>
    <w:rsid w:val="00195EB2"/>
    <w:rsid w:val="00197DB8"/>
    <w:rsid w:val="001A0D3A"/>
    <w:rsid w:val="001A26AE"/>
    <w:rsid w:val="001A5237"/>
    <w:rsid w:val="001A7978"/>
    <w:rsid w:val="001B3D41"/>
    <w:rsid w:val="001B66A1"/>
    <w:rsid w:val="001C6DB2"/>
    <w:rsid w:val="001C7E13"/>
    <w:rsid w:val="001C7E37"/>
    <w:rsid w:val="001D4160"/>
    <w:rsid w:val="001D74A1"/>
    <w:rsid w:val="001E64D7"/>
    <w:rsid w:val="001F16AB"/>
    <w:rsid w:val="001F5965"/>
    <w:rsid w:val="001F68F0"/>
    <w:rsid w:val="0020495D"/>
    <w:rsid w:val="00210BFE"/>
    <w:rsid w:val="002137ED"/>
    <w:rsid w:val="00215333"/>
    <w:rsid w:val="002161C4"/>
    <w:rsid w:val="0022340B"/>
    <w:rsid w:val="0022449F"/>
    <w:rsid w:val="00227DDD"/>
    <w:rsid w:val="0023383B"/>
    <w:rsid w:val="00244DBD"/>
    <w:rsid w:val="00244EA8"/>
    <w:rsid w:val="00256AE7"/>
    <w:rsid w:val="00257A8D"/>
    <w:rsid w:val="00263A0F"/>
    <w:rsid w:val="00265107"/>
    <w:rsid w:val="002734BA"/>
    <w:rsid w:val="00275BD0"/>
    <w:rsid w:val="00277805"/>
    <w:rsid w:val="00280984"/>
    <w:rsid w:val="00281791"/>
    <w:rsid w:val="00282831"/>
    <w:rsid w:val="00292DC8"/>
    <w:rsid w:val="00296220"/>
    <w:rsid w:val="002A0F12"/>
    <w:rsid w:val="002A633A"/>
    <w:rsid w:val="002B060F"/>
    <w:rsid w:val="002B1407"/>
    <w:rsid w:val="002B2D28"/>
    <w:rsid w:val="002B5F86"/>
    <w:rsid w:val="002C0CB4"/>
    <w:rsid w:val="002D110C"/>
    <w:rsid w:val="002D51C4"/>
    <w:rsid w:val="002D6832"/>
    <w:rsid w:val="002E3406"/>
    <w:rsid w:val="002E343D"/>
    <w:rsid w:val="002E5D2E"/>
    <w:rsid w:val="002E77AB"/>
    <w:rsid w:val="002F1B36"/>
    <w:rsid w:val="002F38CB"/>
    <w:rsid w:val="002F705F"/>
    <w:rsid w:val="002F7CF4"/>
    <w:rsid w:val="00300240"/>
    <w:rsid w:val="00310733"/>
    <w:rsid w:val="00315D0D"/>
    <w:rsid w:val="0032112A"/>
    <w:rsid w:val="00323B43"/>
    <w:rsid w:val="00325820"/>
    <w:rsid w:val="00326A8D"/>
    <w:rsid w:val="00327CD3"/>
    <w:rsid w:val="00331E9D"/>
    <w:rsid w:val="0033374F"/>
    <w:rsid w:val="0033543E"/>
    <w:rsid w:val="00335955"/>
    <w:rsid w:val="00337D1B"/>
    <w:rsid w:val="00340A32"/>
    <w:rsid w:val="00351BB1"/>
    <w:rsid w:val="00355182"/>
    <w:rsid w:val="003607D8"/>
    <w:rsid w:val="0036086C"/>
    <w:rsid w:val="00360FE5"/>
    <w:rsid w:val="00361B67"/>
    <w:rsid w:val="0036496D"/>
    <w:rsid w:val="00373F92"/>
    <w:rsid w:val="003800BD"/>
    <w:rsid w:val="00383DEC"/>
    <w:rsid w:val="003928AD"/>
    <w:rsid w:val="003932C4"/>
    <w:rsid w:val="0039372B"/>
    <w:rsid w:val="0039413E"/>
    <w:rsid w:val="00397255"/>
    <w:rsid w:val="003A0E56"/>
    <w:rsid w:val="003A2435"/>
    <w:rsid w:val="003A24FC"/>
    <w:rsid w:val="003A46B7"/>
    <w:rsid w:val="003A5783"/>
    <w:rsid w:val="003B69F2"/>
    <w:rsid w:val="003B746D"/>
    <w:rsid w:val="003C160E"/>
    <w:rsid w:val="003C2B1E"/>
    <w:rsid w:val="003C5545"/>
    <w:rsid w:val="003D0AD5"/>
    <w:rsid w:val="003D37D8"/>
    <w:rsid w:val="003D4A9C"/>
    <w:rsid w:val="003D7EA6"/>
    <w:rsid w:val="003E637E"/>
    <w:rsid w:val="003E7BF3"/>
    <w:rsid w:val="003F4A58"/>
    <w:rsid w:val="003F6101"/>
    <w:rsid w:val="003F66D9"/>
    <w:rsid w:val="004108EB"/>
    <w:rsid w:val="004133C9"/>
    <w:rsid w:val="004137F2"/>
    <w:rsid w:val="004156EC"/>
    <w:rsid w:val="004176E5"/>
    <w:rsid w:val="00417732"/>
    <w:rsid w:val="00424709"/>
    <w:rsid w:val="00431224"/>
    <w:rsid w:val="00433DA7"/>
    <w:rsid w:val="004351DA"/>
    <w:rsid w:val="004358AB"/>
    <w:rsid w:val="00436010"/>
    <w:rsid w:val="00440ECF"/>
    <w:rsid w:val="00443706"/>
    <w:rsid w:val="0044550B"/>
    <w:rsid w:val="00453AE3"/>
    <w:rsid w:val="004543B0"/>
    <w:rsid w:val="004656F1"/>
    <w:rsid w:val="00466C5D"/>
    <w:rsid w:val="00467F57"/>
    <w:rsid w:val="0047366E"/>
    <w:rsid w:val="00474245"/>
    <w:rsid w:val="004743CB"/>
    <w:rsid w:val="00475534"/>
    <w:rsid w:val="004777EC"/>
    <w:rsid w:val="00477C8D"/>
    <w:rsid w:val="00481E79"/>
    <w:rsid w:val="00485E0D"/>
    <w:rsid w:val="0048713F"/>
    <w:rsid w:val="004872E4"/>
    <w:rsid w:val="00487C53"/>
    <w:rsid w:val="004903F6"/>
    <w:rsid w:val="00491C78"/>
    <w:rsid w:val="004946B9"/>
    <w:rsid w:val="004A02CE"/>
    <w:rsid w:val="004A0329"/>
    <w:rsid w:val="004A6E17"/>
    <w:rsid w:val="004A78A6"/>
    <w:rsid w:val="004B3CB3"/>
    <w:rsid w:val="004C1B7E"/>
    <w:rsid w:val="004C30F3"/>
    <w:rsid w:val="004D2057"/>
    <w:rsid w:val="004D251B"/>
    <w:rsid w:val="004D384C"/>
    <w:rsid w:val="004D4BEC"/>
    <w:rsid w:val="004D5D2F"/>
    <w:rsid w:val="004E4BA6"/>
    <w:rsid w:val="004F10F4"/>
    <w:rsid w:val="00502B83"/>
    <w:rsid w:val="00507794"/>
    <w:rsid w:val="00510D12"/>
    <w:rsid w:val="00517347"/>
    <w:rsid w:val="00524254"/>
    <w:rsid w:val="00524E1F"/>
    <w:rsid w:val="005251E0"/>
    <w:rsid w:val="00534EAA"/>
    <w:rsid w:val="00534F5E"/>
    <w:rsid w:val="0053668B"/>
    <w:rsid w:val="00536A13"/>
    <w:rsid w:val="0054325A"/>
    <w:rsid w:val="00543D4A"/>
    <w:rsid w:val="00552FC2"/>
    <w:rsid w:val="00553CEC"/>
    <w:rsid w:val="00554C28"/>
    <w:rsid w:val="00557C05"/>
    <w:rsid w:val="00557C7E"/>
    <w:rsid w:val="005619E6"/>
    <w:rsid w:val="00561D35"/>
    <w:rsid w:val="00562E2C"/>
    <w:rsid w:val="005638E7"/>
    <w:rsid w:val="00563C07"/>
    <w:rsid w:val="00564ECA"/>
    <w:rsid w:val="00566C53"/>
    <w:rsid w:val="0057734D"/>
    <w:rsid w:val="00577CCA"/>
    <w:rsid w:val="00581E04"/>
    <w:rsid w:val="00591498"/>
    <w:rsid w:val="0059352F"/>
    <w:rsid w:val="00593BCC"/>
    <w:rsid w:val="005A0298"/>
    <w:rsid w:val="005A2F29"/>
    <w:rsid w:val="005A33E2"/>
    <w:rsid w:val="005A3D96"/>
    <w:rsid w:val="005A5CFF"/>
    <w:rsid w:val="005A6223"/>
    <w:rsid w:val="005A76E1"/>
    <w:rsid w:val="005B1753"/>
    <w:rsid w:val="005B1829"/>
    <w:rsid w:val="005B2EB4"/>
    <w:rsid w:val="005B4484"/>
    <w:rsid w:val="005C024D"/>
    <w:rsid w:val="005C098B"/>
    <w:rsid w:val="005C1049"/>
    <w:rsid w:val="005C1565"/>
    <w:rsid w:val="005C2381"/>
    <w:rsid w:val="005C24F5"/>
    <w:rsid w:val="005C2BD2"/>
    <w:rsid w:val="005C4618"/>
    <w:rsid w:val="005C5674"/>
    <w:rsid w:val="005C6BAB"/>
    <w:rsid w:val="005D0CB3"/>
    <w:rsid w:val="005D2A0E"/>
    <w:rsid w:val="005D5A86"/>
    <w:rsid w:val="005E0142"/>
    <w:rsid w:val="005E0BAB"/>
    <w:rsid w:val="005E1321"/>
    <w:rsid w:val="005E3BBB"/>
    <w:rsid w:val="005F72F3"/>
    <w:rsid w:val="00601760"/>
    <w:rsid w:val="00602B47"/>
    <w:rsid w:val="00605316"/>
    <w:rsid w:val="00607A7E"/>
    <w:rsid w:val="00612A94"/>
    <w:rsid w:val="00615E31"/>
    <w:rsid w:val="00616699"/>
    <w:rsid w:val="00617CCE"/>
    <w:rsid w:val="006217A8"/>
    <w:rsid w:val="00621851"/>
    <w:rsid w:val="0062312F"/>
    <w:rsid w:val="00624324"/>
    <w:rsid w:val="006243A2"/>
    <w:rsid w:val="00627F0D"/>
    <w:rsid w:val="0063234A"/>
    <w:rsid w:val="00635630"/>
    <w:rsid w:val="006427EC"/>
    <w:rsid w:val="00646F2D"/>
    <w:rsid w:val="00647588"/>
    <w:rsid w:val="006507B4"/>
    <w:rsid w:val="00652DF2"/>
    <w:rsid w:val="006537A1"/>
    <w:rsid w:val="006545E7"/>
    <w:rsid w:val="006623BD"/>
    <w:rsid w:val="006624EB"/>
    <w:rsid w:val="00663002"/>
    <w:rsid w:val="00664061"/>
    <w:rsid w:val="006643A1"/>
    <w:rsid w:val="006647BE"/>
    <w:rsid w:val="006652D5"/>
    <w:rsid w:val="0067086D"/>
    <w:rsid w:val="00671584"/>
    <w:rsid w:val="00680531"/>
    <w:rsid w:val="00682E5F"/>
    <w:rsid w:val="00683EA0"/>
    <w:rsid w:val="00683FE3"/>
    <w:rsid w:val="00684DBE"/>
    <w:rsid w:val="00694437"/>
    <w:rsid w:val="00694898"/>
    <w:rsid w:val="006B0113"/>
    <w:rsid w:val="006B3033"/>
    <w:rsid w:val="006B384E"/>
    <w:rsid w:val="006B4766"/>
    <w:rsid w:val="006B6BA4"/>
    <w:rsid w:val="006C5B89"/>
    <w:rsid w:val="006E1E1D"/>
    <w:rsid w:val="006E2202"/>
    <w:rsid w:val="006E2F34"/>
    <w:rsid w:val="006F13B8"/>
    <w:rsid w:val="006F2782"/>
    <w:rsid w:val="006F27C2"/>
    <w:rsid w:val="006F43CC"/>
    <w:rsid w:val="006F683C"/>
    <w:rsid w:val="00706EA3"/>
    <w:rsid w:val="00711288"/>
    <w:rsid w:val="00713048"/>
    <w:rsid w:val="007137D3"/>
    <w:rsid w:val="0071473E"/>
    <w:rsid w:val="00717289"/>
    <w:rsid w:val="0072085F"/>
    <w:rsid w:val="00722F8D"/>
    <w:rsid w:val="007303FF"/>
    <w:rsid w:val="00730F3B"/>
    <w:rsid w:val="007311D7"/>
    <w:rsid w:val="00731AB1"/>
    <w:rsid w:val="00735A5D"/>
    <w:rsid w:val="00740040"/>
    <w:rsid w:val="00740795"/>
    <w:rsid w:val="00740AD2"/>
    <w:rsid w:val="0074284F"/>
    <w:rsid w:val="00742C84"/>
    <w:rsid w:val="00745493"/>
    <w:rsid w:val="007469FA"/>
    <w:rsid w:val="0074799A"/>
    <w:rsid w:val="0075125C"/>
    <w:rsid w:val="007525E0"/>
    <w:rsid w:val="00753A3E"/>
    <w:rsid w:val="00755703"/>
    <w:rsid w:val="00766808"/>
    <w:rsid w:val="00781FB3"/>
    <w:rsid w:val="007844F2"/>
    <w:rsid w:val="00790100"/>
    <w:rsid w:val="00797EB9"/>
    <w:rsid w:val="007A11AB"/>
    <w:rsid w:val="007A236A"/>
    <w:rsid w:val="007A4F8D"/>
    <w:rsid w:val="007A72F4"/>
    <w:rsid w:val="007B145A"/>
    <w:rsid w:val="007C1BAF"/>
    <w:rsid w:val="007C7574"/>
    <w:rsid w:val="007D0FEB"/>
    <w:rsid w:val="007D7772"/>
    <w:rsid w:val="007E080B"/>
    <w:rsid w:val="007E0CE5"/>
    <w:rsid w:val="007E0D69"/>
    <w:rsid w:val="007E1C02"/>
    <w:rsid w:val="007E1F63"/>
    <w:rsid w:val="007E3E4F"/>
    <w:rsid w:val="007E465F"/>
    <w:rsid w:val="007E4DD2"/>
    <w:rsid w:val="007E5316"/>
    <w:rsid w:val="007E5FE3"/>
    <w:rsid w:val="007E7C0B"/>
    <w:rsid w:val="007F2778"/>
    <w:rsid w:val="007F5767"/>
    <w:rsid w:val="007F583E"/>
    <w:rsid w:val="007F59C4"/>
    <w:rsid w:val="0080573F"/>
    <w:rsid w:val="008129D4"/>
    <w:rsid w:val="008133B6"/>
    <w:rsid w:val="00816867"/>
    <w:rsid w:val="008240F3"/>
    <w:rsid w:val="00831F7E"/>
    <w:rsid w:val="00833FF0"/>
    <w:rsid w:val="00836182"/>
    <w:rsid w:val="0083698A"/>
    <w:rsid w:val="0084082C"/>
    <w:rsid w:val="00842202"/>
    <w:rsid w:val="00846498"/>
    <w:rsid w:val="008465F1"/>
    <w:rsid w:val="00846870"/>
    <w:rsid w:val="008511E2"/>
    <w:rsid w:val="00852E2D"/>
    <w:rsid w:val="00860919"/>
    <w:rsid w:val="008620AF"/>
    <w:rsid w:val="008624A4"/>
    <w:rsid w:val="008641D6"/>
    <w:rsid w:val="00864677"/>
    <w:rsid w:val="008652F0"/>
    <w:rsid w:val="00867490"/>
    <w:rsid w:val="00875ACE"/>
    <w:rsid w:val="00876AA3"/>
    <w:rsid w:val="00877386"/>
    <w:rsid w:val="00880740"/>
    <w:rsid w:val="008807AC"/>
    <w:rsid w:val="00884273"/>
    <w:rsid w:val="00886A44"/>
    <w:rsid w:val="00891A35"/>
    <w:rsid w:val="00895049"/>
    <w:rsid w:val="008950F3"/>
    <w:rsid w:val="008954DA"/>
    <w:rsid w:val="00896021"/>
    <w:rsid w:val="00896082"/>
    <w:rsid w:val="008A2131"/>
    <w:rsid w:val="008A26F2"/>
    <w:rsid w:val="008A57A3"/>
    <w:rsid w:val="008A697C"/>
    <w:rsid w:val="008B2BC7"/>
    <w:rsid w:val="008B4C87"/>
    <w:rsid w:val="008B4FBA"/>
    <w:rsid w:val="008B6A68"/>
    <w:rsid w:val="008B7012"/>
    <w:rsid w:val="008B7726"/>
    <w:rsid w:val="008C72BB"/>
    <w:rsid w:val="008D0AA3"/>
    <w:rsid w:val="008D0B7A"/>
    <w:rsid w:val="008E0668"/>
    <w:rsid w:val="008E2F3C"/>
    <w:rsid w:val="008E44F1"/>
    <w:rsid w:val="008E662C"/>
    <w:rsid w:val="008E66DF"/>
    <w:rsid w:val="008E6D9E"/>
    <w:rsid w:val="009012C0"/>
    <w:rsid w:val="0090657C"/>
    <w:rsid w:val="00912BB5"/>
    <w:rsid w:val="00913D7B"/>
    <w:rsid w:val="00921ED3"/>
    <w:rsid w:val="00933C2A"/>
    <w:rsid w:val="00937998"/>
    <w:rsid w:val="00941C15"/>
    <w:rsid w:val="009435E6"/>
    <w:rsid w:val="009440C6"/>
    <w:rsid w:val="00947B88"/>
    <w:rsid w:val="00952987"/>
    <w:rsid w:val="00953778"/>
    <w:rsid w:val="00953BAB"/>
    <w:rsid w:val="00964575"/>
    <w:rsid w:val="009651AE"/>
    <w:rsid w:val="00967C62"/>
    <w:rsid w:val="00975381"/>
    <w:rsid w:val="00980BBB"/>
    <w:rsid w:val="009842B5"/>
    <w:rsid w:val="00985C65"/>
    <w:rsid w:val="00990668"/>
    <w:rsid w:val="00990761"/>
    <w:rsid w:val="0099387D"/>
    <w:rsid w:val="00993C6B"/>
    <w:rsid w:val="009B2D38"/>
    <w:rsid w:val="009B68DA"/>
    <w:rsid w:val="009B7E1D"/>
    <w:rsid w:val="009C0879"/>
    <w:rsid w:val="009D0E95"/>
    <w:rsid w:val="009D29FC"/>
    <w:rsid w:val="009D2B6B"/>
    <w:rsid w:val="009E2000"/>
    <w:rsid w:val="009E5AF5"/>
    <w:rsid w:val="009E62A2"/>
    <w:rsid w:val="009E781A"/>
    <w:rsid w:val="009F0139"/>
    <w:rsid w:val="009F13D4"/>
    <w:rsid w:val="009F1B84"/>
    <w:rsid w:val="009F1F62"/>
    <w:rsid w:val="009F4C4B"/>
    <w:rsid w:val="009F5D72"/>
    <w:rsid w:val="00A0087D"/>
    <w:rsid w:val="00A02DFF"/>
    <w:rsid w:val="00A0496A"/>
    <w:rsid w:val="00A14EB9"/>
    <w:rsid w:val="00A223A4"/>
    <w:rsid w:val="00A2407E"/>
    <w:rsid w:val="00A2460D"/>
    <w:rsid w:val="00A24880"/>
    <w:rsid w:val="00A31959"/>
    <w:rsid w:val="00A348D2"/>
    <w:rsid w:val="00A35E71"/>
    <w:rsid w:val="00A3648D"/>
    <w:rsid w:val="00A36682"/>
    <w:rsid w:val="00A408D7"/>
    <w:rsid w:val="00A4251A"/>
    <w:rsid w:val="00A460D8"/>
    <w:rsid w:val="00A50B89"/>
    <w:rsid w:val="00A52B7A"/>
    <w:rsid w:val="00A65175"/>
    <w:rsid w:val="00A6773A"/>
    <w:rsid w:val="00A73C6A"/>
    <w:rsid w:val="00A8001B"/>
    <w:rsid w:val="00A82E00"/>
    <w:rsid w:val="00A83370"/>
    <w:rsid w:val="00A85C16"/>
    <w:rsid w:val="00AA01D2"/>
    <w:rsid w:val="00AA076B"/>
    <w:rsid w:val="00AA3306"/>
    <w:rsid w:val="00AA410A"/>
    <w:rsid w:val="00AA5DE9"/>
    <w:rsid w:val="00AA7040"/>
    <w:rsid w:val="00AA7EC7"/>
    <w:rsid w:val="00AC0402"/>
    <w:rsid w:val="00AC087B"/>
    <w:rsid w:val="00AC5484"/>
    <w:rsid w:val="00AC5CBC"/>
    <w:rsid w:val="00AD4624"/>
    <w:rsid w:val="00AD5866"/>
    <w:rsid w:val="00AE0141"/>
    <w:rsid w:val="00AE1ECD"/>
    <w:rsid w:val="00AE20EF"/>
    <w:rsid w:val="00AE449C"/>
    <w:rsid w:val="00AE4F7B"/>
    <w:rsid w:val="00AF0A59"/>
    <w:rsid w:val="00AF0F8E"/>
    <w:rsid w:val="00AF57BC"/>
    <w:rsid w:val="00AF7C34"/>
    <w:rsid w:val="00B03292"/>
    <w:rsid w:val="00B16711"/>
    <w:rsid w:val="00B27C7D"/>
    <w:rsid w:val="00B3146B"/>
    <w:rsid w:val="00B334CF"/>
    <w:rsid w:val="00B34D45"/>
    <w:rsid w:val="00B34F92"/>
    <w:rsid w:val="00B367D2"/>
    <w:rsid w:val="00B41568"/>
    <w:rsid w:val="00B41F30"/>
    <w:rsid w:val="00B42160"/>
    <w:rsid w:val="00B42413"/>
    <w:rsid w:val="00B439F1"/>
    <w:rsid w:val="00B44079"/>
    <w:rsid w:val="00B45F37"/>
    <w:rsid w:val="00B510FC"/>
    <w:rsid w:val="00B56529"/>
    <w:rsid w:val="00B56620"/>
    <w:rsid w:val="00B568E1"/>
    <w:rsid w:val="00B5761C"/>
    <w:rsid w:val="00B61F33"/>
    <w:rsid w:val="00B67B0B"/>
    <w:rsid w:val="00B70B11"/>
    <w:rsid w:val="00B70E1A"/>
    <w:rsid w:val="00B76330"/>
    <w:rsid w:val="00B768D8"/>
    <w:rsid w:val="00B7776C"/>
    <w:rsid w:val="00B82CE9"/>
    <w:rsid w:val="00B92C15"/>
    <w:rsid w:val="00B9646C"/>
    <w:rsid w:val="00B9793E"/>
    <w:rsid w:val="00BA09D3"/>
    <w:rsid w:val="00BA0A13"/>
    <w:rsid w:val="00BA1269"/>
    <w:rsid w:val="00BA1EE5"/>
    <w:rsid w:val="00BA58F3"/>
    <w:rsid w:val="00BA71EB"/>
    <w:rsid w:val="00BB3834"/>
    <w:rsid w:val="00BB3E21"/>
    <w:rsid w:val="00BB4589"/>
    <w:rsid w:val="00BB5E69"/>
    <w:rsid w:val="00BB616F"/>
    <w:rsid w:val="00BB77DB"/>
    <w:rsid w:val="00BC41CA"/>
    <w:rsid w:val="00BC51D6"/>
    <w:rsid w:val="00BC6F98"/>
    <w:rsid w:val="00BC7CC8"/>
    <w:rsid w:val="00BC7F68"/>
    <w:rsid w:val="00BD3654"/>
    <w:rsid w:val="00BE583F"/>
    <w:rsid w:val="00BE6CEB"/>
    <w:rsid w:val="00BE6F43"/>
    <w:rsid w:val="00BF2A22"/>
    <w:rsid w:val="00BF39B4"/>
    <w:rsid w:val="00C00239"/>
    <w:rsid w:val="00C05246"/>
    <w:rsid w:val="00C07391"/>
    <w:rsid w:val="00C11C07"/>
    <w:rsid w:val="00C1389A"/>
    <w:rsid w:val="00C16BC8"/>
    <w:rsid w:val="00C16FE2"/>
    <w:rsid w:val="00C23FC4"/>
    <w:rsid w:val="00C25D29"/>
    <w:rsid w:val="00C26481"/>
    <w:rsid w:val="00C30875"/>
    <w:rsid w:val="00C316E6"/>
    <w:rsid w:val="00C4369C"/>
    <w:rsid w:val="00C44A14"/>
    <w:rsid w:val="00C44AD3"/>
    <w:rsid w:val="00C5008F"/>
    <w:rsid w:val="00C53C82"/>
    <w:rsid w:val="00C57460"/>
    <w:rsid w:val="00C6542D"/>
    <w:rsid w:val="00C65642"/>
    <w:rsid w:val="00C6565E"/>
    <w:rsid w:val="00C6766E"/>
    <w:rsid w:val="00C73CB2"/>
    <w:rsid w:val="00C74826"/>
    <w:rsid w:val="00C74835"/>
    <w:rsid w:val="00C75630"/>
    <w:rsid w:val="00C777BE"/>
    <w:rsid w:val="00C90B5E"/>
    <w:rsid w:val="00C94339"/>
    <w:rsid w:val="00C946F4"/>
    <w:rsid w:val="00CB396C"/>
    <w:rsid w:val="00CB558C"/>
    <w:rsid w:val="00CB6817"/>
    <w:rsid w:val="00CB7B0A"/>
    <w:rsid w:val="00CB7B9E"/>
    <w:rsid w:val="00CC0A53"/>
    <w:rsid w:val="00CC18D5"/>
    <w:rsid w:val="00CC7458"/>
    <w:rsid w:val="00CD04F7"/>
    <w:rsid w:val="00CD1D27"/>
    <w:rsid w:val="00CD28D3"/>
    <w:rsid w:val="00CD2B7D"/>
    <w:rsid w:val="00CD4AA0"/>
    <w:rsid w:val="00CE057F"/>
    <w:rsid w:val="00CE10FC"/>
    <w:rsid w:val="00CE4148"/>
    <w:rsid w:val="00CF2929"/>
    <w:rsid w:val="00CF3BC6"/>
    <w:rsid w:val="00CF3F53"/>
    <w:rsid w:val="00CF6E3C"/>
    <w:rsid w:val="00CF7FEC"/>
    <w:rsid w:val="00D00317"/>
    <w:rsid w:val="00D05CF4"/>
    <w:rsid w:val="00D05F44"/>
    <w:rsid w:val="00D06953"/>
    <w:rsid w:val="00D15062"/>
    <w:rsid w:val="00D21EE7"/>
    <w:rsid w:val="00D23A45"/>
    <w:rsid w:val="00D25D3E"/>
    <w:rsid w:val="00D27F26"/>
    <w:rsid w:val="00D41D69"/>
    <w:rsid w:val="00D42DAA"/>
    <w:rsid w:val="00D44CF3"/>
    <w:rsid w:val="00D45B66"/>
    <w:rsid w:val="00D46174"/>
    <w:rsid w:val="00D47F6F"/>
    <w:rsid w:val="00D56E7B"/>
    <w:rsid w:val="00D65E16"/>
    <w:rsid w:val="00D664B6"/>
    <w:rsid w:val="00D66DED"/>
    <w:rsid w:val="00D67ECE"/>
    <w:rsid w:val="00D71469"/>
    <w:rsid w:val="00D72329"/>
    <w:rsid w:val="00D7623F"/>
    <w:rsid w:val="00D813A2"/>
    <w:rsid w:val="00D85B57"/>
    <w:rsid w:val="00D85F27"/>
    <w:rsid w:val="00D86DEA"/>
    <w:rsid w:val="00D9376F"/>
    <w:rsid w:val="00DA1FDD"/>
    <w:rsid w:val="00DA4492"/>
    <w:rsid w:val="00DA4623"/>
    <w:rsid w:val="00DA7DE8"/>
    <w:rsid w:val="00DB079A"/>
    <w:rsid w:val="00DB5E23"/>
    <w:rsid w:val="00DD1CA1"/>
    <w:rsid w:val="00DD4701"/>
    <w:rsid w:val="00DD5A1A"/>
    <w:rsid w:val="00DD7678"/>
    <w:rsid w:val="00DD7982"/>
    <w:rsid w:val="00DE5BC7"/>
    <w:rsid w:val="00DF05CE"/>
    <w:rsid w:val="00DF4A12"/>
    <w:rsid w:val="00DF591B"/>
    <w:rsid w:val="00DF6446"/>
    <w:rsid w:val="00E02F70"/>
    <w:rsid w:val="00E17C04"/>
    <w:rsid w:val="00E20607"/>
    <w:rsid w:val="00E20DD0"/>
    <w:rsid w:val="00E210B9"/>
    <w:rsid w:val="00E21C36"/>
    <w:rsid w:val="00E224EF"/>
    <w:rsid w:val="00E22504"/>
    <w:rsid w:val="00E233AA"/>
    <w:rsid w:val="00E247FC"/>
    <w:rsid w:val="00E24B69"/>
    <w:rsid w:val="00E30942"/>
    <w:rsid w:val="00E30A2B"/>
    <w:rsid w:val="00E31B52"/>
    <w:rsid w:val="00E327FA"/>
    <w:rsid w:val="00E35295"/>
    <w:rsid w:val="00E376D7"/>
    <w:rsid w:val="00E50BE1"/>
    <w:rsid w:val="00E53FDF"/>
    <w:rsid w:val="00E54A55"/>
    <w:rsid w:val="00E65BA6"/>
    <w:rsid w:val="00E66467"/>
    <w:rsid w:val="00E665EF"/>
    <w:rsid w:val="00E739CA"/>
    <w:rsid w:val="00E81992"/>
    <w:rsid w:val="00E84253"/>
    <w:rsid w:val="00E84273"/>
    <w:rsid w:val="00E84862"/>
    <w:rsid w:val="00E85487"/>
    <w:rsid w:val="00E916C6"/>
    <w:rsid w:val="00E91B9B"/>
    <w:rsid w:val="00E92B96"/>
    <w:rsid w:val="00E93681"/>
    <w:rsid w:val="00E94517"/>
    <w:rsid w:val="00EA0BA1"/>
    <w:rsid w:val="00EA1B14"/>
    <w:rsid w:val="00EA1DD2"/>
    <w:rsid w:val="00EA2BE0"/>
    <w:rsid w:val="00EA3F19"/>
    <w:rsid w:val="00EA68B9"/>
    <w:rsid w:val="00EA7341"/>
    <w:rsid w:val="00EB3437"/>
    <w:rsid w:val="00EC1CCF"/>
    <w:rsid w:val="00EC627A"/>
    <w:rsid w:val="00EC7439"/>
    <w:rsid w:val="00ED7019"/>
    <w:rsid w:val="00EE525A"/>
    <w:rsid w:val="00EE5AD5"/>
    <w:rsid w:val="00EE61CD"/>
    <w:rsid w:val="00EF1309"/>
    <w:rsid w:val="00EF2407"/>
    <w:rsid w:val="00EF300F"/>
    <w:rsid w:val="00F02069"/>
    <w:rsid w:val="00F050F3"/>
    <w:rsid w:val="00F148BC"/>
    <w:rsid w:val="00F15BC6"/>
    <w:rsid w:val="00F226C4"/>
    <w:rsid w:val="00F2325D"/>
    <w:rsid w:val="00F255DB"/>
    <w:rsid w:val="00F2613E"/>
    <w:rsid w:val="00F271DF"/>
    <w:rsid w:val="00F31539"/>
    <w:rsid w:val="00F34493"/>
    <w:rsid w:val="00F3635D"/>
    <w:rsid w:val="00F44605"/>
    <w:rsid w:val="00F53FAF"/>
    <w:rsid w:val="00F62D17"/>
    <w:rsid w:val="00F64B17"/>
    <w:rsid w:val="00F67C8D"/>
    <w:rsid w:val="00F75BBC"/>
    <w:rsid w:val="00F767AD"/>
    <w:rsid w:val="00F80C30"/>
    <w:rsid w:val="00F821E3"/>
    <w:rsid w:val="00F8340D"/>
    <w:rsid w:val="00F85950"/>
    <w:rsid w:val="00F908BC"/>
    <w:rsid w:val="00F94ADB"/>
    <w:rsid w:val="00F975A1"/>
    <w:rsid w:val="00F97AF2"/>
    <w:rsid w:val="00FA36DC"/>
    <w:rsid w:val="00FB0BCF"/>
    <w:rsid w:val="00FB402A"/>
    <w:rsid w:val="00FB44B4"/>
    <w:rsid w:val="00FB7771"/>
    <w:rsid w:val="00FB7922"/>
    <w:rsid w:val="00FC0607"/>
    <w:rsid w:val="00FC315A"/>
    <w:rsid w:val="00FC3477"/>
    <w:rsid w:val="00FC4D0A"/>
    <w:rsid w:val="00FC74AD"/>
    <w:rsid w:val="00FD0D0C"/>
    <w:rsid w:val="00FD1C41"/>
    <w:rsid w:val="00FD2B5B"/>
    <w:rsid w:val="00FD33EC"/>
    <w:rsid w:val="00FD6612"/>
    <w:rsid w:val="00FE1913"/>
    <w:rsid w:val="00FE460C"/>
    <w:rsid w:val="00FE4AD1"/>
    <w:rsid w:val="00FF248E"/>
    <w:rsid w:val="00FF40F4"/>
    <w:rsid w:val="00FF433C"/>
    <w:rsid w:val="00FF61C7"/>
    <w:rsid w:val="00FF653D"/>
    <w:rsid w:val="012224F8"/>
    <w:rsid w:val="01AD16F9"/>
    <w:rsid w:val="01B71BD4"/>
    <w:rsid w:val="01DD31A9"/>
    <w:rsid w:val="024822BA"/>
    <w:rsid w:val="02DB6FF9"/>
    <w:rsid w:val="03280CE6"/>
    <w:rsid w:val="033C3023"/>
    <w:rsid w:val="03C85BD8"/>
    <w:rsid w:val="052A494C"/>
    <w:rsid w:val="05F718B0"/>
    <w:rsid w:val="06264EBB"/>
    <w:rsid w:val="0660296D"/>
    <w:rsid w:val="066C303A"/>
    <w:rsid w:val="06A8622D"/>
    <w:rsid w:val="075B4617"/>
    <w:rsid w:val="083413DB"/>
    <w:rsid w:val="084B19E6"/>
    <w:rsid w:val="08FA014C"/>
    <w:rsid w:val="091664FD"/>
    <w:rsid w:val="096B1D41"/>
    <w:rsid w:val="09802C8B"/>
    <w:rsid w:val="099567FC"/>
    <w:rsid w:val="09D8796C"/>
    <w:rsid w:val="09E611AC"/>
    <w:rsid w:val="0A487660"/>
    <w:rsid w:val="0AEF5816"/>
    <w:rsid w:val="0B9343C9"/>
    <w:rsid w:val="0C006A4F"/>
    <w:rsid w:val="0C5E2573"/>
    <w:rsid w:val="0C64355F"/>
    <w:rsid w:val="0D164D9E"/>
    <w:rsid w:val="0D5B5684"/>
    <w:rsid w:val="0DA16FCC"/>
    <w:rsid w:val="0DF54F81"/>
    <w:rsid w:val="0E956346"/>
    <w:rsid w:val="0F2A036A"/>
    <w:rsid w:val="104260F9"/>
    <w:rsid w:val="10442345"/>
    <w:rsid w:val="109B3AFE"/>
    <w:rsid w:val="10CE51BA"/>
    <w:rsid w:val="111939FD"/>
    <w:rsid w:val="112F7D2D"/>
    <w:rsid w:val="11772F45"/>
    <w:rsid w:val="117B003F"/>
    <w:rsid w:val="12966F6C"/>
    <w:rsid w:val="12E00CB0"/>
    <w:rsid w:val="132F2BCE"/>
    <w:rsid w:val="137A6453"/>
    <w:rsid w:val="13DB20E1"/>
    <w:rsid w:val="14AB5ECB"/>
    <w:rsid w:val="14AE1901"/>
    <w:rsid w:val="15C84EDF"/>
    <w:rsid w:val="16A82745"/>
    <w:rsid w:val="179B0556"/>
    <w:rsid w:val="17B16514"/>
    <w:rsid w:val="180B3FDB"/>
    <w:rsid w:val="19BF3005"/>
    <w:rsid w:val="1AB54D11"/>
    <w:rsid w:val="1AC36298"/>
    <w:rsid w:val="1AE82AA2"/>
    <w:rsid w:val="1B5F22B5"/>
    <w:rsid w:val="1B751E56"/>
    <w:rsid w:val="1B805C9A"/>
    <w:rsid w:val="1B9B4C1E"/>
    <w:rsid w:val="1C9E2899"/>
    <w:rsid w:val="1D040379"/>
    <w:rsid w:val="1D8F6E45"/>
    <w:rsid w:val="1E643936"/>
    <w:rsid w:val="1F35423E"/>
    <w:rsid w:val="1F3E4D3F"/>
    <w:rsid w:val="1F3F7DF3"/>
    <w:rsid w:val="1F4A15BA"/>
    <w:rsid w:val="1F730268"/>
    <w:rsid w:val="20EE4BE8"/>
    <w:rsid w:val="216D0714"/>
    <w:rsid w:val="232C00FD"/>
    <w:rsid w:val="23317384"/>
    <w:rsid w:val="235F249E"/>
    <w:rsid w:val="241C6EB4"/>
    <w:rsid w:val="242E4FFD"/>
    <w:rsid w:val="24474EE9"/>
    <w:rsid w:val="24B311A3"/>
    <w:rsid w:val="25A51D5E"/>
    <w:rsid w:val="25BC4336"/>
    <w:rsid w:val="25C912FE"/>
    <w:rsid w:val="269A53D3"/>
    <w:rsid w:val="26E1039F"/>
    <w:rsid w:val="27DD0604"/>
    <w:rsid w:val="27E26020"/>
    <w:rsid w:val="28256D6A"/>
    <w:rsid w:val="28D33956"/>
    <w:rsid w:val="290D5FB3"/>
    <w:rsid w:val="298E6C66"/>
    <w:rsid w:val="29A357A6"/>
    <w:rsid w:val="2A9E1AF0"/>
    <w:rsid w:val="2B3D34F7"/>
    <w:rsid w:val="2CF146FE"/>
    <w:rsid w:val="2D1D0FFE"/>
    <w:rsid w:val="2EC57195"/>
    <w:rsid w:val="304660EE"/>
    <w:rsid w:val="30744947"/>
    <w:rsid w:val="30AE4E06"/>
    <w:rsid w:val="30B5017C"/>
    <w:rsid w:val="310E6468"/>
    <w:rsid w:val="31324BCD"/>
    <w:rsid w:val="315923A4"/>
    <w:rsid w:val="31E01808"/>
    <w:rsid w:val="340D70E3"/>
    <w:rsid w:val="3453628C"/>
    <w:rsid w:val="347D6E0A"/>
    <w:rsid w:val="349B5908"/>
    <w:rsid w:val="36581BEF"/>
    <w:rsid w:val="36F62ACF"/>
    <w:rsid w:val="379B7D06"/>
    <w:rsid w:val="38DD234A"/>
    <w:rsid w:val="39D82331"/>
    <w:rsid w:val="3A2A67B7"/>
    <w:rsid w:val="3A3060CB"/>
    <w:rsid w:val="3C4773FC"/>
    <w:rsid w:val="3C974D64"/>
    <w:rsid w:val="3D373F1A"/>
    <w:rsid w:val="3D826CD3"/>
    <w:rsid w:val="3DDA7CA4"/>
    <w:rsid w:val="3DFF057B"/>
    <w:rsid w:val="3E03016C"/>
    <w:rsid w:val="3EC21175"/>
    <w:rsid w:val="3FF17081"/>
    <w:rsid w:val="405715FE"/>
    <w:rsid w:val="41356AF2"/>
    <w:rsid w:val="414117D3"/>
    <w:rsid w:val="42E71E4A"/>
    <w:rsid w:val="43AA0A1A"/>
    <w:rsid w:val="43F02E86"/>
    <w:rsid w:val="44445222"/>
    <w:rsid w:val="44A1682D"/>
    <w:rsid w:val="44AB7D67"/>
    <w:rsid w:val="45835D97"/>
    <w:rsid w:val="46555A9E"/>
    <w:rsid w:val="47927F0C"/>
    <w:rsid w:val="483B786C"/>
    <w:rsid w:val="48A052F0"/>
    <w:rsid w:val="48AE3792"/>
    <w:rsid w:val="48FD2CBF"/>
    <w:rsid w:val="49043823"/>
    <w:rsid w:val="49B64C17"/>
    <w:rsid w:val="4A774EAF"/>
    <w:rsid w:val="4A901B65"/>
    <w:rsid w:val="4A970401"/>
    <w:rsid w:val="4B8B563D"/>
    <w:rsid w:val="4BB927CA"/>
    <w:rsid w:val="4C5B1D93"/>
    <w:rsid w:val="4C815CEF"/>
    <w:rsid w:val="4C8773D6"/>
    <w:rsid w:val="4C8E6465"/>
    <w:rsid w:val="4CF3184A"/>
    <w:rsid w:val="4D113017"/>
    <w:rsid w:val="4D1A1E41"/>
    <w:rsid w:val="4D1C20E0"/>
    <w:rsid w:val="4DE10AB6"/>
    <w:rsid w:val="4F0230F7"/>
    <w:rsid w:val="4FCE0B81"/>
    <w:rsid w:val="50544212"/>
    <w:rsid w:val="50D408E7"/>
    <w:rsid w:val="515B15FC"/>
    <w:rsid w:val="527C7B82"/>
    <w:rsid w:val="5299691E"/>
    <w:rsid w:val="531752DB"/>
    <w:rsid w:val="53E268F1"/>
    <w:rsid w:val="543B1246"/>
    <w:rsid w:val="54886867"/>
    <w:rsid w:val="5491583C"/>
    <w:rsid w:val="54D6161E"/>
    <w:rsid w:val="55A74AB2"/>
    <w:rsid w:val="579E3070"/>
    <w:rsid w:val="57D028A3"/>
    <w:rsid w:val="58075490"/>
    <w:rsid w:val="582C5F77"/>
    <w:rsid w:val="58B32F76"/>
    <w:rsid w:val="591D1716"/>
    <w:rsid w:val="59476261"/>
    <w:rsid w:val="59F96BAF"/>
    <w:rsid w:val="5A3126AE"/>
    <w:rsid w:val="5A9A7B03"/>
    <w:rsid w:val="5AA83CF1"/>
    <w:rsid w:val="5CA6431C"/>
    <w:rsid w:val="5D232270"/>
    <w:rsid w:val="5D53601F"/>
    <w:rsid w:val="5DEE5740"/>
    <w:rsid w:val="5E374037"/>
    <w:rsid w:val="5E3D5C85"/>
    <w:rsid w:val="5E535479"/>
    <w:rsid w:val="5F057EE1"/>
    <w:rsid w:val="5F892649"/>
    <w:rsid w:val="6016348B"/>
    <w:rsid w:val="60DA49DB"/>
    <w:rsid w:val="62101E85"/>
    <w:rsid w:val="62DB3863"/>
    <w:rsid w:val="633831BC"/>
    <w:rsid w:val="637C494F"/>
    <w:rsid w:val="642D3DC4"/>
    <w:rsid w:val="64F57F6F"/>
    <w:rsid w:val="65571EA9"/>
    <w:rsid w:val="6727118C"/>
    <w:rsid w:val="67647E7D"/>
    <w:rsid w:val="685643D3"/>
    <w:rsid w:val="68B34A7D"/>
    <w:rsid w:val="68DC27C4"/>
    <w:rsid w:val="69CF3E43"/>
    <w:rsid w:val="6A773311"/>
    <w:rsid w:val="6A955530"/>
    <w:rsid w:val="6AA80689"/>
    <w:rsid w:val="6BAB7A5B"/>
    <w:rsid w:val="6D86319F"/>
    <w:rsid w:val="6E4829A7"/>
    <w:rsid w:val="6F270F00"/>
    <w:rsid w:val="6F6B56AF"/>
    <w:rsid w:val="70EA1B1B"/>
    <w:rsid w:val="716740E2"/>
    <w:rsid w:val="721539DB"/>
    <w:rsid w:val="7329247D"/>
    <w:rsid w:val="733517CB"/>
    <w:rsid w:val="73A734AF"/>
    <w:rsid w:val="741C55A9"/>
    <w:rsid w:val="75123A2B"/>
    <w:rsid w:val="75172ADA"/>
    <w:rsid w:val="75DF35EA"/>
    <w:rsid w:val="76090E55"/>
    <w:rsid w:val="77E43EAC"/>
    <w:rsid w:val="78532CD6"/>
    <w:rsid w:val="790E26F2"/>
    <w:rsid w:val="79DA2CAE"/>
    <w:rsid w:val="7A475611"/>
    <w:rsid w:val="7A535E6C"/>
    <w:rsid w:val="7B582008"/>
    <w:rsid w:val="7B867AD4"/>
    <w:rsid w:val="7C053676"/>
    <w:rsid w:val="7C054C4A"/>
    <w:rsid w:val="7D170770"/>
    <w:rsid w:val="7D70716E"/>
    <w:rsid w:val="7DA1507F"/>
    <w:rsid w:val="7EB32EAB"/>
    <w:rsid w:val="7F65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unhideWhenUsed/>
    <w:qFormat/>
    <w:uiPriority w:val="99"/>
    <w:rPr>
      <w:color w:val="864654"/>
      <w:u w:val="single"/>
    </w:rPr>
  </w:style>
  <w:style w:type="character" w:styleId="12">
    <w:name w:val="annotation reference"/>
    <w:semiHidden/>
    <w:unhideWhenUsed/>
    <w:qFormat/>
    <w:uiPriority w:val="99"/>
    <w:rPr>
      <w:sz w:val="21"/>
      <w:szCs w:val="21"/>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14">
    <w:name w:val="CM3"/>
    <w:basedOn w:val="13"/>
    <w:next w:val="13"/>
    <w:qFormat/>
    <w:uiPriority w:val="0"/>
    <w:pPr>
      <w:spacing w:line="468" w:lineRule="atLeast"/>
    </w:pPr>
    <w:rPr>
      <w:rFonts w:ascii="宋体" w:hAnsi="Times New Roman" w:eastAsia="宋体" w:cs="宋体"/>
      <w:color w:val="auto"/>
    </w:rPr>
  </w:style>
  <w:style w:type="character" w:customStyle="1" w:styleId="15">
    <w:name w:val="页眉 字符"/>
    <w:link w:val="5"/>
    <w:qFormat/>
    <w:uiPriority w:val="99"/>
    <w:rPr>
      <w:rFonts w:ascii="Times New Roman" w:hAnsi="Times New Roman" w:eastAsia="宋体"/>
      <w:kern w:val="2"/>
      <w:sz w:val="18"/>
      <w:szCs w:val="18"/>
    </w:rPr>
  </w:style>
  <w:style w:type="character" w:customStyle="1" w:styleId="16">
    <w:name w:val="页脚 字符"/>
    <w:link w:val="4"/>
    <w:qFormat/>
    <w:uiPriority w:val="99"/>
    <w:rPr>
      <w:rFonts w:ascii="Times New Roman" w:hAnsi="Times New Roman" w:eastAsia="宋体"/>
      <w:kern w:val="2"/>
      <w:sz w:val="18"/>
      <w:szCs w:val="18"/>
    </w:rPr>
  </w:style>
  <w:style w:type="character" w:customStyle="1" w:styleId="17">
    <w:name w:val="批注框文本 字符"/>
    <w:link w:val="3"/>
    <w:semiHidden/>
    <w:qFormat/>
    <w:uiPriority w:val="99"/>
    <w:rPr>
      <w:rFonts w:ascii="Times New Roman" w:hAnsi="Times New Roman" w:eastAsia="宋体"/>
      <w:kern w:val="2"/>
      <w:sz w:val="18"/>
      <w:szCs w:val="18"/>
    </w:rPr>
  </w:style>
  <w:style w:type="character" w:customStyle="1" w:styleId="18">
    <w:name w:val="批注文字 字符"/>
    <w:link w:val="2"/>
    <w:semiHidden/>
    <w:qFormat/>
    <w:uiPriority w:val="99"/>
    <w:rPr>
      <w:rFonts w:ascii="Times New Roman" w:hAnsi="Times New Roman" w:eastAsia="宋体"/>
      <w:kern w:val="2"/>
      <w:sz w:val="21"/>
    </w:rPr>
  </w:style>
  <w:style w:type="character" w:customStyle="1" w:styleId="19">
    <w:name w:val="批注主题 字符"/>
    <w:link w:val="7"/>
    <w:semiHidden/>
    <w:qFormat/>
    <w:uiPriority w:val="99"/>
    <w:rPr>
      <w:rFonts w:ascii="Times New Roman" w:hAnsi="Times New Roman" w:eastAsia="宋体"/>
      <w:b/>
      <w:bCs/>
      <w:kern w:val="2"/>
      <w:sz w:val="21"/>
    </w:r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styleId="21">
    <w:name w:val="List Paragraph"/>
    <w:basedOn w:val="1"/>
    <w:qFormat/>
    <w:uiPriority w:val="34"/>
    <w:pPr>
      <w:widowControl w:val="0"/>
      <w:ind w:firstLine="420" w:firstLineChars="200"/>
      <w:jc w:val="both"/>
    </w:pPr>
    <w:rPr>
      <w:rFonts w:ascii="Times New Roman" w:hAnsi="Times New Roman" w:cs="Times New Roman"/>
      <w:kern w:val="2"/>
      <w:sz w:val="21"/>
      <w:szCs w:val="20"/>
    </w:rPr>
  </w:style>
  <w:style w:type="character" w:customStyle="1" w:styleId="22">
    <w:name w:val="font11"/>
    <w:basedOn w:val="10"/>
    <w:qFormat/>
    <w:uiPriority w:val="0"/>
    <w:rPr>
      <w:rFonts w:hint="default" w:ascii="Times New Roman" w:hAnsi="Times New Roman" w:cs="Times New Roman"/>
      <w:b/>
      <w:bCs/>
      <w:color w:val="000000"/>
      <w:sz w:val="18"/>
      <w:szCs w:val="18"/>
      <w:u w:val="none"/>
    </w:rPr>
  </w:style>
  <w:style w:type="character" w:customStyle="1" w:styleId="23">
    <w:name w:val="font21"/>
    <w:basedOn w:val="10"/>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F32F-A976-48A3-A9EF-EA5FAC1638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316</Words>
  <Characters>1802</Characters>
  <Lines>15</Lines>
  <Paragraphs>4</Paragraphs>
  <TotalTime>0</TotalTime>
  <ScaleCrop>false</ScaleCrop>
  <LinksUpToDate>false</LinksUpToDate>
  <CharactersWithSpaces>2114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2020-04-26T09:59:00Z</dcterms:created>
  <dc:creator>USER</dc:creator>
  <cp:lastModifiedBy>P194919</cp:lastModifiedBy>
  <cp:lastPrinted>2019-04-17T08:50:00Z</cp:lastPrinted>
  <dcterms:modified xsi:type="dcterms:W3CDTF">2024-11-06T08:55:21Z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8235BBF7E892452DA755FA2028B3F2EA</vt:lpwstr>
  </property>
</Properties>
</file>